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080" w:rsidRPr="001D600A" w:rsidRDefault="00640623" w:rsidP="009D160F">
      <w:pPr>
        <w:pStyle w:val="Heading1"/>
        <w:spacing w:before="240"/>
        <w:jc w:val="center"/>
        <w:rPr>
          <w:rFonts w:ascii="Times New Roman" w:hAnsi="Times New Roman" w:cs="Times New Roman"/>
          <w:color w:val="auto"/>
        </w:rPr>
      </w:pPr>
      <w:bookmarkStart w:id="0" w:name="_GoBack"/>
      <w:bookmarkEnd w:id="0"/>
      <w:r w:rsidRPr="001D600A">
        <w:rPr>
          <w:rFonts w:ascii="Times New Roman" w:hAnsi="Times New Roman" w:cs="Times New Roman"/>
          <w:color w:val="auto"/>
        </w:rPr>
        <w:t xml:space="preserve">Anotācija pētījumam </w:t>
      </w:r>
      <w:r w:rsidR="001D600A">
        <w:rPr>
          <w:rFonts w:ascii="Times New Roman" w:hAnsi="Times New Roman" w:cs="Times New Roman"/>
          <w:color w:val="auto"/>
        </w:rPr>
        <w:t>“</w:t>
      </w:r>
      <w:r w:rsidR="00EE4AF5" w:rsidRPr="001D600A">
        <w:rPr>
          <w:rFonts w:ascii="Times New Roman" w:hAnsi="Times New Roman" w:cs="Times New Roman"/>
          <w:color w:val="auto"/>
        </w:rPr>
        <w:t xml:space="preserve">Salīdzinošs pētījums par atalgojuma </w:t>
      </w:r>
      <w:r w:rsidR="002045AF" w:rsidRPr="001D600A">
        <w:rPr>
          <w:rFonts w:ascii="Times New Roman" w:hAnsi="Times New Roman" w:cs="Times New Roman"/>
          <w:color w:val="auto"/>
        </w:rPr>
        <w:t>ap</w:t>
      </w:r>
      <w:r w:rsidR="00EE4AF5" w:rsidRPr="001D600A">
        <w:rPr>
          <w:rFonts w:ascii="Times New Roman" w:hAnsi="Times New Roman" w:cs="Times New Roman"/>
          <w:color w:val="auto"/>
        </w:rPr>
        <w:t>mēru</w:t>
      </w:r>
      <w:r w:rsidR="001D600A">
        <w:rPr>
          <w:rFonts w:ascii="Times New Roman" w:hAnsi="Times New Roman" w:cs="Times New Roman"/>
          <w:color w:val="auto"/>
        </w:rPr>
        <w:t>”</w:t>
      </w:r>
    </w:p>
    <w:p w:rsidR="001D600A" w:rsidRPr="001D600A" w:rsidRDefault="001D600A" w:rsidP="001D600A">
      <w:pPr>
        <w:rPr>
          <w:lang w:eastAsia="en-US"/>
        </w:rPr>
      </w:pPr>
    </w:p>
    <w:tbl>
      <w:tblPr>
        <w:tblStyle w:val="TableGrid"/>
        <w:tblW w:w="0" w:type="auto"/>
        <w:tblLook w:val="04A0" w:firstRow="1" w:lastRow="0" w:firstColumn="1" w:lastColumn="0" w:noHBand="0" w:noVBand="1"/>
      </w:tblPr>
      <w:tblGrid>
        <w:gridCol w:w="4644"/>
        <w:gridCol w:w="4962"/>
      </w:tblGrid>
      <w:tr w:rsidR="001D600A" w:rsidRPr="001D600A" w:rsidTr="008D3080">
        <w:tc>
          <w:tcPr>
            <w:tcW w:w="4644" w:type="dxa"/>
          </w:tcPr>
          <w:p w:rsidR="008D3080" w:rsidRPr="001D600A" w:rsidRDefault="008D3080" w:rsidP="009D160F">
            <w:pPr>
              <w:spacing w:before="240"/>
              <w:rPr>
                <w:rFonts w:ascii="Times New Roman" w:hAnsi="Times New Roman" w:cs="Times New Roman"/>
                <w:b/>
                <w:sz w:val="24"/>
                <w:szCs w:val="24"/>
              </w:rPr>
            </w:pPr>
            <w:r w:rsidRPr="001D600A">
              <w:rPr>
                <w:rFonts w:ascii="Times New Roman" w:hAnsi="Times New Roman" w:cs="Times New Roman"/>
                <w:b/>
                <w:sz w:val="24"/>
                <w:szCs w:val="24"/>
              </w:rPr>
              <w:t>Pētījuma mērķis, uzdevumi un galvenie rezultāti latviešu valodā</w:t>
            </w:r>
          </w:p>
          <w:p w:rsidR="001C0908" w:rsidRPr="001D600A" w:rsidRDefault="001C0908" w:rsidP="009D160F">
            <w:pPr>
              <w:spacing w:before="240"/>
              <w:jc w:val="both"/>
              <w:rPr>
                <w:rFonts w:ascii="Times New Roman" w:hAnsi="Times New Roman" w:cs="Times New Roman"/>
                <w:strike/>
                <w:sz w:val="24"/>
                <w:szCs w:val="24"/>
              </w:rPr>
            </w:pPr>
            <w:r w:rsidRPr="001D600A">
              <w:rPr>
                <w:rFonts w:ascii="Times New Roman" w:hAnsi="Times New Roman" w:cs="Times New Roman"/>
                <w:sz w:val="24"/>
                <w:szCs w:val="24"/>
              </w:rPr>
              <w:t>Balstoties uz kvalitatīviem un strukturētiem atalgojuma datiem, salīdzināta valsts tiešās pārvaldes iestādēs, atsevišķi nodalot ministrijas, un privātajā sektorā nodarbināto darba samaksa, kurā ietilpst mēnešalga, piemaksas un prēmijas. Pētījumā salīdzināta darba samaksa amatiem ar līdzīgām funkcijām, atbildības līmeņiem un darba sarežģītības pakāpēm, salīdzinājum</w:t>
            </w:r>
            <w:r w:rsidR="00EF0095" w:rsidRPr="001D600A">
              <w:rPr>
                <w:rFonts w:ascii="Times New Roman" w:hAnsi="Times New Roman" w:cs="Times New Roman"/>
                <w:sz w:val="24"/>
                <w:szCs w:val="24"/>
              </w:rPr>
              <w:t>s veikts</w:t>
            </w:r>
            <w:r w:rsidRPr="001D600A">
              <w:rPr>
                <w:rFonts w:ascii="Times New Roman" w:hAnsi="Times New Roman" w:cs="Times New Roman"/>
                <w:sz w:val="24"/>
                <w:szCs w:val="24"/>
              </w:rPr>
              <w:t xml:space="preserve"> pa amatu saimēm un līmeņiem.</w:t>
            </w:r>
          </w:p>
          <w:p w:rsidR="001C0908" w:rsidRPr="001D600A" w:rsidRDefault="001C0908" w:rsidP="009D160F">
            <w:pPr>
              <w:spacing w:before="240"/>
              <w:jc w:val="both"/>
              <w:rPr>
                <w:rFonts w:ascii="Times New Roman" w:hAnsi="Times New Roman" w:cs="Times New Roman"/>
                <w:sz w:val="24"/>
                <w:szCs w:val="24"/>
              </w:rPr>
            </w:pPr>
            <w:r w:rsidRPr="001D600A">
              <w:rPr>
                <w:rFonts w:ascii="Times New Roman" w:hAnsi="Times New Roman" w:cs="Times New Roman"/>
                <w:bCs/>
                <w:sz w:val="24"/>
                <w:szCs w:val="24"/>
              </w:rPr>
              <w:t xml:space="preserve">Pētījums parāda </w:t>
            </w:r>
            <w:r w:rsidRPr="001D600A">
              <w:rPr>
                <w:rFonts w:ascii="Times New Roman" w:hAnsi="Times New Roman" w:cs="Times New Roman"/>
                <w:sz w:val="24"/>
                <w:szCs w:val="24"/>
              </w:rPr>
              <w:t xml:space="preserve">sabiedriskajā sektorā nodarbināto atalgojuma konkurētspēju ar privātajā sektorā nodarbināto atalgojumu līdzvērtīgos amatos. </w:t>
            </w:r>
          </w:p>
          <w:p w:rsidR="001C5B57" w:rsidRPr="001D600A" w:rsidRDefault="00EF0095" w:rsidP="009D160F">
            <w:pPr>
              <w:spacing w:before="240"/>
              <w:jc w:val="both"/>
              <w:rPr>
                <w:rFonts w:ascii="Times New Roman" w:hAnsi="Times New Roman" w:cs="Times New Roman"/>
                <w:sz w:val="24"/>
                <w:szCs w:val="24"/>
              </w:rPr>
            </w:pPr>
            <w:r w:rsidRPr="001D600A">
              <w:rPr>
                <w:rFonts w:ascii="Times New Roman" w:hAnsi="Times New Roman" w:cs="Times New Roman"/>
                <w:sz w:val="24"/>
                <w:szCs w:val="24"/>
              </w:rPr>
              <w:t>Sagatavoti s</w:t>
            </w:r>
            <w:r w:rsidR="001C0908" w:rsidRPr="001D600A">
              <w:rPr>
                <w:rFonts w:ascii="Times New Roman" w:hAnsi="Times New Roman" w:cs="Times New Roman"/>
                <w:sz w:val="24"/>
                <w:szCs w:val="24"/>
              </w:rPr>
              <w:t xml:space="preserve">ecinājumi par būtiskām darba samaksas atšķirībām privātajā un sabiedriskajā sektorā, tai skaitā norādīts uz tām amatu grupām, kurām nepieciešams veltīt īpašu uzmanību, </w:t>
            </w:r>
            <w:r w:rsidRPr="001D600A">
              <w:rPr>
                <w:rFonts w:ascii="Times New Roman" w:hAnsi="Times New Roman" w:cs="Times New Roman"/>
                <w:sz w:val="24"/>
                <w:szCs w:val="24"/>
              </w:rPr>
              <w:t xml:space="preserve">jo </w:t>
            </w:r>
            <w:r w:rsidR="001C0908" w:rsidRPr="001D600A">
              <w:rPr>
                <w:rFonts w:ascii="Times New Roman" w:hAnsi="Times New Roman" w:cs="Times New Roman"/>
                <w:sz w:val="24"/>
                <w:szCs w:val="24"/>
              </w:rPr>
              <w:t xml:space="preserve">šobrīd darba tirgū ir </w:t>
            </w:r>
            <w:r w:rsidRPr="001D600A">
              <w:rPr>
                <w:rFonts w:ascii="Times New Roman" w:hAnsi="Times New Roman" w:cs="Times New Roman"/>
                <w:sz w:val="24"/>
                <w:szCs w:val="24"/>
              </w:rPr>
              <w:t xml:space="preserve">vispieprasītākie un aktuālākie </w:t>
            </w:r>
            <w:r w:rsidR="001C0908" w:rsidRPr="001D600A">
              <w:rPr>
                <w:rFonts w:ascii="Times New Roman" w:hAnsi="Times New Roman" w:cs="Times New Roman"/>
                <w:sz w:val="24"/>
                <w:szCs w:val="24"/>
              </w:rPr>
              <w:t>amati. Sniegti secinājumi par darba samaksas mainīgās daļas, piemēram, piemaksu un prēmiju pielietošanu privātajā sektorā.</w:t>
            </w:r>
          </w:p>
        </w:tc>
        <w:tc>
          <w:tcPr>
            <w:tcW w:w="4962" w:type="dxa"/>
          </w:tcPr>
          <w:p w:rsidR="009D160F" w:rsidRPr="001D600A" w:rsidRDefault="009D160F" w:rsidP="009D160F">
            <w:pPr>
              <w:spacing w:before="120"/>
              <w:jc w:val="both"/>
              <w:rPr>
                <w:rFonts w:ascii="Times New Roman" w:hAnsi="Times New Roman" w:cs="Times New Roman"/>
                <w:b/>
                <w:sz w:val="24"/>
                <w:szCs w:val="24"/>
                <w:lang w:val="en-GB"/>
              </w:rPr>
            </w:pPr>
            <w:r w:rsidRPr="001D600A">
              <w:rPr>
                <w:rFonts w:ascii="Times New Roman" w:hAnsi="Times New Roman" w:cs="Times New Roman"/>
                <w:b/>
                <w:sz w:val="24"/>
                <w:szCs w:val="24"/>
                <w:lang w:val="en-GB"/>
              </w:rPr>
              <w:t>The goal of the research, tasks and main results in English</w:t>
            </w:r>
          </w:p>
          <w:p w:rsidR="009D160F" w:rsidRPr="001D600A" w:rsidRDefault="009D160F" w:rsidP="009D160F">
            <w:pPr>
              <w:jc w:val="both"/>
              <w:rPr>
                <w:rFonts w:ascii="Times New Roman" w:hAnsi="Times New Roman" w:cs="Times New Roman"/>
                <w:b/>
                <w:sz w:val="24"/>
                <w:szCs w:val="24"/>
                <w:lang w:val="en-GB"/>
              </w:rPr>
            </w:pPr>
          </w:p>
          <w:p w:rsidR="009D160F" w:rsidRPr="001D600A" w:rsidRDefault="009D160F" w:rsidP="009D160F">
            <w:pPr>
              <w:jc w:val="both"/>
              <w:rPr>
                <w:rFonts w:ascii="Times New Roman" w:hAnsi="Times New Roman" w:cs="Times New Roman"/>
                <w:sz w:val="24"/>
                <w:szCs w:val="24"/>
                <w:lang w:val="en-GB"/>
              </w:rPr>
            </w:pPr>
            <w:r w:rsidRPr="001D600A">
              <w:rPr>
                <w:rFonts w:ascii="Times New Roman" w:hAnsi="Times New Roman" w:cs="Times New Roman"/>
                <w:sz w:val="24"/>
                <w:szCs w:val="24"/>
                <w:lang w:val="en-GB"/>
              </w:rPr>
              <w:t xml:space="preserve">On the basis of qualitative and structured wage data, wages (include monthly wage, premiums and bonuses) of employees in institutions of direct public administration (by taking the ministries separately), and employees in the private sector were compared.  </w:t>
            </w:r>
          </w:p>
          <w:p w:rsidR="009D160F" w:rsidRPr="001D600A" w:rsidRDefault="009D160F" w:rsidP="009D160F">
            <w:pPr>
              <w:jc w:val="both"/>
              <w:rPr>
                <w:rFonts w:ascii="Times New Roman" w:hAnsi="Times New Roman" w:cs="Times New Roman"/>
                <w:sz w:val="24"/>
                <w:szCs w:val="24"/>
                <w:lang w:val="en-GB"/>
              </w:rPr>
            </w:pPr>
            <w:r w:rsidRPr="001D600A">
              <w:rPr>
                <w:rFonts w:ascii="Times New Roman" w:hAnsi="Times New Roman" w:cs="Times New Roman"/>
                <w:sz w:val="24"/>
                <w:szCs w:val="24"/>
                <w:lang w:val="en-GB"/>
              </w:rPr>
              <w:t>In the research, wages were compared for positions with similar functions, levels of responsibility and stages of job complexity; comparison was made within position groups and levels.</w:t>
            </w:r>
          </w:p>
          <w:p w:rsidR="009D160F" w:rsidRPr="001D600A" w:rsidRDefault="009D160F" w:rsidP="009D160F">
            <w:pPr>
              <w:jc w:val="both"/>
              <w:rPr>
                <w:rFonts w:ascii="Times New Roman" w:hAnsi="Times New Roman" w:cs="Times New Roman"/>
                <w:sz w:val="24"/>
                <w:szCs w:val="24"/>
                <w:lang w:val="en-GB"/>
              </w:rPr>
            </w:pPr>
          </w:p>
          <w:p w:rsidR="009D160F" w:rsidRPr="001D600A" w:rsidRDefault="009D160F" w:rsidP="009D160F">
            <w:pPr>
              <w:jc w:val="both"/>
              <w:rPr>
                <w:rFonts w:ascii="Times New Roman" w:hAnsi="Times New Roman" w:cs="Times New Roman"/>
                <w:sz w:val="24"/>
                <w:szCs w:val="24"/>
                <w:lang w:val="en-GB"/>
              </w:rPr>
            </w:pPr>
            <w:r w:rsidRPr="001D600A">
              <w:rPr>
                <w:rFonts w:ascii="Times New Roman" w:hAnsi="Times New Roman" w:cs="Times New Roman"/>
                <w:sz w:val="24"/>
                <w:szCs w:val="24"/>
                <w:lang w:val="en-GB"/>
              </w:rPr>
              <w:t>The research shows the competitiveness between wages of the public sector employees and private sector employees in equal positions.</w:t>
            </w:r>
          </w:p>
          <w:p w:rsidR="009D160F" w:rsidRPr="001D600A" w:rsidRDefault="009D160F" w:rsidP="009D160F">
            <w:pPr>
              <w:jc w:val="both"/>
              <w:rPr>
                <w:rFonts w:ascii="Times New Roman" w:hAnsi="Times New Roman" w:cs="Times New Roman"/>
                <w:sz w:val="24"/>
                <w:szCs w:val="24"/>
                <w:lang w:val="en-GB"/>
              </w:rPr>
            </w:pPr>
          </w:p>
          <w:p w:rsidR="008D3080" w:rsidRPr="001D600A" w:rsidRDefault="009D160F" w:rsidP="009D160F">
            <w:pPr>
              <w:jc w:val="both"/>
              <w:rPr>
                <w:rFonts w:ascii="Times New Roman" w:hAnsi="Times New Roman" w:cs="Times New Roman"/>
                <w:sz w:val="24"/>
                <w:szCs w:val="24"/>
                <w:lang w:val="en-GB"/>
              </w:rPr>
            </w:pPr>
            <w:r w:rsidRPr="001D600A">
              <w:rPr>
                <w:rFonts w:ascii="Times New Roman" w:hAnsi="Times New Roman" w:cs="Times New Roman"/>
                <w:sz w:val="24"/>
                <w:szCs w:val="24"/>
                <w:lang w:val="en-GB"/>
              </w:rPr>
              <w:t>Conclusions are prepared about the essential wage distinctions in the private and public sectors; they also include those position groups that require special attention because, at the moment, they are most demanded and outstanding in the labour market. Conclusions are provided on the application of the variable part of the wage, for example, premiums and bonuses, in the private sector.</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b/>
                <w:sz w:val="24"/>
                <w:szCs w:val="24"/>
              </w:rPr>
            </w:pPr>
            <w:r w:rsidRPr="001D600A">
              <w:rPr>
                <w:rFonts w:ascii="Times New Roman" w:hAnsi="Times New Roman" w:cs="Times New Roman"/>
                <w:b/>
                <w:sz w:val="24"/>
                <w:szCs w:val="24"/>
              </w:rPr>
              <w:t>Galvenās pētījumā aplūkotās tēmas</w:t>
            </w:r>
          </w:p>
        </w:tc>
        <w:tc>
          <w:tcPr>
            <w:tcW w:w="4962" w:type="dxa"/>
          </w:tcPr>
          <w:p w:rsidR="00F41E5A" w:rsidRPr="001D600A" w:rsidRDefault="001C5B57" w:rsidP="009D160F">
            <w:pPr>
              <w:spacing w:before="240"/>
              <w:jc w:val="both"/>
              <w:rPr>
                <w:rFonts w:ascii="Times New Roman" w:hAnsi="Times New Roman" w:cs="Times New Roman"/>
                <w:sz w:val="24"/>
                <w:szCs w:val="24"/>
              </w:rPr>
            </w:pPr>
            <w:r w:rsidRPr="001D600A">
              <w:rPr>
                <w:rFonts w:ascii="Times New Roman" w:hAnsi="Times New Roman" w:cs="Times New Roman"/>
                <w:sz w:val="24"/>
                <w:szCs w:val="24"/>
              </w:rPr>
              <w:t>Valsts pārvaldē nodarbināto atalgojuma konkurētspējas salīdzinājums ar privātajā sektorā nodarbināto atalgojumu līdzvērtīgos amatos.</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b/>
                <w:sz w:val="24"/>
                <w:szCs w:val="24"/>
              </w:rPr>
            </w:pPr>
            <w:r w:rsidRPr="001D600A">
              <w:rPr>
                <w:rFonts w:ascii="Times New Roman" w:hAnsi="Times New Roman" w:cs="Times New Roman"/>
                <w:b/>
                <w:sz w:val="24"/>
                <w:szCs w:val="24"/>
              </w:rPr>
              <w:t>Pētījuma pasūtītājs</w:t>
            </w:r>
          </w:p>
        </w:tc>
        <w:tc>
          <w:tcPr>
            <w:tcW w:w="4962" w:type="dxa"/>
          </w:tcPr>
          <w:p w:rsidR="008D3080" w:rsidRPr="001D600A" w:rsidRDefault="008D3080" w:rsidP="009D160F">
            <w:pPr>
              <w:spacing w:before="240"/>
              <w:rPr>
                <w:rFonts w:ascii="Times New Roman" w:hAnsi="Times New Roman" w:cs="Times New Roman"/>
                <w:sz w:val="24"/>
                <w:szCs w:val="24"/>
              </w:rPr>
            </w:pPr>
            <w:r w:rsidRPr="001D600A">
              <w:rPr>
                <w:rFonts w:ascii="Times New Roman" w:hAnsi="Times New Roman" w:cs="Times New Roman"/>
                <w:sz w:val="24"/>
                <w:szCs w:val="24"/>
              </w:rPr>
              <w:t>Valsts kanceleja</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b/>
                <w:sz w:val="24"/>
                <w:szCs w:val="24"/>
              </w:rPr>
            </w:pPr>
            <w:r w:rsidRPr="001D600A">
              <w:rPr>
                <w:rFonts w:ascii="Times New Roman" w:hAnsi="Times New Roman" w:cs="Times New Roman"/>
                <w:b/>
                <w:sz w:val="24"/>
                <w:szCs w:val="24"/>
              </w:rPr>
              <w:t>Pētījuma īstenotājs</w:t>
            </w:r>
          </w:p>
        </w:tc>
        <w:tc>
          <w:tcPr>
            <w:tcW w:w="4962" w:type="dxa"/>
          </w:tcPr>
          <w:p w:rsidR="008D3080" w:rsidRPr="001D600A" w:rsidRDefault="007647BB" w:rsidP="009D160F">
            <w:pPr>
              <w:spacing w:before="240"/>
              <w:jc w:val="both"/>
              <w:rPr>
                <w:rFonts w:ascii="Times New Roman" w:hAnsi="Times New Roman" w:cs="Times New Roman"/>
                <w:sz w:val="24"/>
                <w:szCs w:val="24"/>
              </w:rPr>
            </w:pPr>
            <w:r w:rsidRPr="001D600A">
              <w:rPr>
                <w:rFonts w:ascii="Times New Roman" w:hAnsi="Times New Roman" w:cs="Times New Roman"/>
                <w:sz w:val="24"/>
                <w:szCs w:val="24"/>
              </w:rPr>
              <w:t>Fontes Vadības Konsultācijas SIA</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b/>
                <w:sz w:val="24"/>
                <w:szCs w:val="24"/>
              </w:rPr>
            </w:pPr>
            <w:r w:rsidRPr="001D600A">
              <w:rPr>
                <w:rFonts w:ascii="Times New Roman" w:hAnsi="Times New Roman" w:cs="Times New Roman"/>
                <w:b/>
                <w:sz w:val="24"/>
                <w:szCs w:val="24"/>
              </w:rPr>
              <w:t>Pētījuma īstenošanas gads</w:t>
            </w:r>
          </w:p>
        </w:tc>
        <w:tc>
          <w:tcPr>
            <w:tcW w:w="4962" w:type="dxa"/>
          </w:tcPr>
          <w:p w:rsidR="008D3080" w:rsidRPr="001D600A" w:rsidRDefault="008D3080" w:rsidP="009D160F">
            <w:pPr>
              <w:spacing w:before="240"/>
              <w:rPr>
                <w:rFonts w:ascii="Times New Roman" w:hAnsi="Times New Roman" w:cs="Times New Roman"/>
                <w:sz w:val="24"/>
                <w:szCs w:val="24"/>
              </w:rPr>
            </w:pPr>
            <w:r w:rsidRPr="001D600A">
              <w:rPr>
                <w:rFonts w:ascii="Times New Roman" w:hAnsi="Times New Roman" w:cs="Times New Roman"/>
                <w:sz w:val="24"/>
                <w:szCs w:val="24"/>
              </w:rPr>
              <w:t>201</w:t>
            </w:r>
            <w:r w:rsidR="00E35F56" w:rsidRPr="001D600A">
              <w:rPr>
                <w:rFonts w:ascii="Times New Roman" w:hAnsi="Times New Roman" w:cs="Times New Roman"/>
                <w:sz w:val="24"/>
                <w:szCs w:val="24"/>
              </w:rPr>
              <w:t>6</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b/>
                <w:sz w:val="24"/>
                <w:szCs w:val="24"/>
              </w:rPr>
            </w:pPr>
            <w:r w:rsidRPr="001D600A">
              <w:rPr>
                <w:rFonts w:ascii="Times New Roman" w:hAnsi="Times New Roman" w:cs="Times New Roman"/>
                <w:b/>
                <w:sz w:val="24"/>
                <w:szCs w:val="24"/>
              </w:rPr>
              <w:t>Pētījuma finansēšanas summa un finansēšanas avots</w:t>
            </w:r>
          </w:p>
        </w:tc>
        <w:tc>
          <w:tcPr>
            <w:tcW w:w="4962" w:type="dxa"/>
          </w:tcPr>
          <w:p w:rsidR="009D160F" w:rsidRPr="001D600A" w:rsidRDefault="00FC2ED9" w:rsidP="009D160F">
            <w:pPr>
              <w:spacing w:before="240"/>
              <w:jc w:val="both"/>
              <w:rPr>
                <w:rFonts w:ascii="Times New Roman" w:hAnsi="Times New Roman" w:cs="Times New Roman"/>
                <w:sz w:val="24"/>
                <w:szCs w:val="24"/>
              </w:rPr>
            </w:pPr>
            <w:r w:rsidRPr="001D600A">
              <w:rPr>
                <w:rFonts w:ascii="Times New Roman" w:hAnsi="Times New Roman" w:cs="Times New Roman"/>
                <w:sz w:val="24"/>
                <w:szCs w:val="24"/>
              </w:rPr>
              <w:t>1</w:t>
            </w:r>
            <w:r w:rsidR="009D160F" w:rsidRPr="001D600A">
              <w:rPr>
                <w:rFonts w:ascii="Times New Roman" w:hAnsi="Times New Roman" w:cs="Times New Roman"/>
                <w:sz w:val="24"/>
                <w:szCs w:val="24"/>
              </w:rPr>
              <w:t>8 150.00</w:t>
            </w:r>
            <w:r w:rsidRPr="001D600A">
              <w:rPr>
                <w:rFonts w:ascii="Times New Roman" w:hAnsi="Times New Roman" w:cs="Times New Roman"/>
                <w:sz w:val="24"/>
                <w:szCs w:val="24"/>
              </w:rPr>
              <w:t xml:space="preserve"> EUR</w:t>
            </w:r>
            <w:r w:rsidR="009D160F" w:rsidRPr="001D600A">
              <w:rPr>
                <w:rFonts w:ascii="Times New Roman" w:hAnsi="Times New Roman" w:cs="Times New Roman"/>
                <w:sz w:val="24"/>
                <w:szCs w:val="24"/>
              </w:rPr>
              <w:t xml:space="preserve"> (kopā ar PVN 21%)</w:t>
            </w:r>
          </w:p>
          <w:p w:rsidR="00EF0095" w:rsidRPr="001D600A" w:rsidRDefault="009D160F" w:rsidP="001D600A">
            <w:pPr>
              <w:spacing w:before="240"/>
              <w:jc w:val="both"/>
              <w:rPr>
                <w:rFonts w:ascii="Times New Roman" w:hAnsi="Times New Roman" w:cs="Times New Roman"/>
                <w:sz w:val="24"/>
                <w:szCs w:val="24"/>
              </w:rPr>
            </w:pPr>
            <w:r w:rsidRPr="001D600A">
              <w:rPr>
                <w:rFonts w:ascii="Times New Roman" w:hAnsi="Times New Roman" w:cs="Times New Roman"/>
                <w:sz w:val="24"/>
                <w:szCs w:val="24"/>
              </w:rPr>
              <w:t xml:space="preserve">Valsts kanceleja </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b/>
                <w:sz w:val="24"/>
                <w:szCs w:val="24"/>
              </w:rPr>
            </w:pPr>
            <w:r w:rsidRPr="001D600A">
              <w:rPr>
                <w:rFonts w:ascii="Times New Roman" w:hAnsi="Times New Roman" w:cs="Times New Roman"/>
                <w:b/>
                <w:sz w:val="24"/>
                <w:szCs w:val="24"/>
              </w:rPr>
              <w:t>Pētījuma klasifikācija</w:t>
            </w:r>
          </w:p>
        </w:tc>
        <w:tc>
          <w:tcPr>
            <w:tcW w:w="4962" w:type="dxa"/>
          </w:tcPr>
          <w:p w:rsidR="006E7946" w:rsidRPr="001D600A" w:rsidRDefault="006E7946" w:rsidP="006E7946">
            <w:pPr>
              <w:spacing w:before="240"/>
              <w:rPr>
                <w:rFonts w:ascii="Times New Roman" w:hAnsi="Times New Roman" w:cs="Times New Roman"/>
                <w:sz w:val="24"/>
                <w:szCs w:val="24"/>
              </w:rPr>
            </w:pPr>
            <w:r w:rsidRPr="001D600A">
              <w:rPr>
                <w:rFonts w:ascii="Times New Roman" w:hAnsi="Times New Roman" w:cs="Times New Roman"/>
                <w:sz w:val="24"/>
                <w:szCs w:val="24"/>
              </w:rPr>
              <w:t>Padziļinātas ekspertīzes pētījums.</w:t>
            </w:r>
          </w:p>
          <w:p w:rsidR="00FC2ED9" w:rsidRPr="001D600A" w:rsidRDefault="007647BB" w:rsidP="006E7946">
            <w:pPr>
              <w:spacing w:before="240"/>
              <w:rPr>
                <w:rFonts w:ascii="Times New Roman" w:hAnsi="Times New Roman" w:cs="Times New Roman"/>
                <w:sz w:val="24"/>
                <w:szCs w:val="24"/>
              </w:rPr>
            </w:pPr>
            <w:r w:rsidRPr="001D600A">
              <w:rPr>
                <w:rFonts w:ascii="Times New Roman" w:hAnsi="Times New Roman" w:cs="Times New Roman"/>
                <w:sz w:val="24"/>
                <w:szCs w:val="24"/>
              </w:rPr>
              <w:t>Pēc</w:t>
            </w:r>
            <w:r w:rsidR="00E50D09" w:rsidRPr="001D600A">
              <w:rPr>
                <w:rFonts w:ascii="Times New Roman" w:hAnsi="Times New Roman" w:cs="Times New Roman"/>
                <w:sz w:val="24"/>
                <w:szCs w:val="24"/>
              </w:rPr>
              <w:t xml:space="preserve"> valsts</w:t>
            </w:r>
            <w:r w:rsidR="006E7946" w:rsidRPr="001D600A">
              <w:rPr>
                <w:rFonts w:ascii="Times New Roman" w:hAnsi="Times New Roman" w:cs="Times New Roman"/>
                <w:sz w:val="24"/>
                <w:szCs w:val="24"/>
              </w:rPr>
              <w:t xml:space="preserve"> un pašvaldību institūciju amatu</w:t>
            </w:r>
            <w:r w:rsidR="00E50D09" w:rsidRPr="001D600A">
              <w:rPr>
                <w:rFonts w:ascii="Times New Roman" w:hAnsi="Times New Roman" w:cs="Times New Roman"/>
                <w:sz w:val="24"/>
                <w:szCs w:val="24"/>
              </w:rPr>
              <w:t xml:space="preserve"> kataloga</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b/>
                <w:sz w:val="24"/>
                <w:szCs w:val="24"/>
              </w:rPr>
            </w:pPr>
            <w:r w:rsidRPr="001D600A">
              <w:rPr>
                <w:rFonts w:ascii="Times New Roman" w:hAnsi="Times New Roman" w:cs="Times New Roman"/>
                <w:b/>
                <w:sz w:val="24"/>
                <w:szCs w:val="24"/>
              </w:rPr>
              <w:t>Politikas joma, nozare</w:t>
            </w:r>
          </w:p>
        </w:tc>
        <w:tc>
          <w:tcPr>
            <w:tcW w:w="4962" w:type="dxa"/>
          </w:tcPr>
          <w:p w:rsidR="008D3080" w:rsidRPr="001D600A" w:rsidRDefault="002B2084" w:rsidP="009D160F">
            <w:pPr>
              <w:spacing w:before="240"/>
              <w:rPr>
                <w:rFonts w:ascii="Times New Roman" w:hAnsi="Times New Roman" w:cs="Times New Roman"/>
                <w:sz w:val="24"/>
                <w:szCs w:val="24"/>
              </w:rPr>
            </w:pPr>
            <w:r w:rsidRPr="001D600A">
              <w:rPr>
                <w:rFonts w:ascii="Times New Roman" w:hAnsi="Times New Roman" w:cs="Times New Roman"/>
                <w:sz w:val="24"/>
                <w:szCs w:val="24"/>
              </w:rPr>
              <w:t>Publiskās pārvaldes politika</w:t>
            </w:r>
          </w:p>
          <w:p w:rsidR="001D600A" w:rsidRPr="001D600A" w:rsidRDefault="001D600A" w:rsidP="009D160F">
            <w:pPr>
              <w:spacing w:before="240"/>
              <w:rPr>
                <w:rFonts w:ascii="Times New Roman" w:hAnsi="Times New Roman" w:cs="Times New Roman"/>
                <w:sz w:val="24"/>
                <w:szCs w:val="24"/>
                <w:shd w:val="clear" w:color="auto" w:fill="FFFFFF"/>
              </w:rPr>
            </w:pPr>
            <w:r w:rsidRPr="001D600A">
              <w:rPr>
                <w:rFonts w:ascii="Times New Roman" w:hAnsi="Times New Roman" w:cs="Times New Roman"/>
                <w:sz w:val="24"/>
                <w:szCs w:val="24"/>
                <w:shd w:val="clear" w:color="auto" w:fill="FFFFFF"/>
              </w:rPr>
              <w:t>Valsts pārvaldes attīstība</w:t>
            </w:r>
          </w:p>
          <w:p w:rsidR="001D600A" w:rsidRPr="001D600A" w:rsidRDefault="001D600A" w:rsidP="009D160F">
            <w:pPr>
              <w:spacing w:before="240"/>
              <w:rPr>
                <w:rFonts w:ascii="Times New Roman" w:hAnsi="Times New Roman" w:cs="Times New Roman"/>
                <w:sz w:val="24"/>
                <w:szCs w:val="24"/>
              </w:rPr>
            </w:pPr>
            <w:r w:rsidRPr="001D600A">
              <w:rPr>
                <w:rFonts w:ascii="Times New Roman" w:hAnsi="Times New Roman" w:cs="Times New Roman"/>
                <w:sz w:val="24"/>
                <w:szCs w:val="24"/>
                <w:shd w:val="clear" w:color="auto" w:fill="FFFFFF"/>
              </w:rPr>
              <w:lastRenderedPageBreak/>
              <w:t>Cilvēkresursu attīstība</w:t>
            </w:r>
          </w:p>
        </w:tc>
      </w:tr>
      <w:tr w:rsidR="001D600A" w:rsidRPr="001D600A" w:rsidTr="008D3080">
        <w:tc>
          <w:tcPr>
            <w:tcW w:w="4644" w:type="dxa"/>
          </w:tcPr>
          <w:p w:rsidR="008D3080" w:rsidRPr="001D600A" w:rsidRDefault="008D3080" w:rsidP="001D600A">
            <w:pPr>
              <w:spacing w:before="240"/>
              <w:rPr>
                <w:rFonts w:ascii="Times New Roman" w:hAnsi="Times New Roman" w:cs="Times New Roman"/>
                <w:sz w:val="24"/>
                <w:szCs w:val="24"/>
              </w:rPr>
            </w:pPr>
            <w:r w:rsidRPr="001D600A">
              <w:rPr>
                <w:rFonts w:ascii="Times New Roman" w:hAnsi="Times New Roman" w:cs="Times New Roman"/>
                <w:b/>
                <w:sz w:val="24"/>
                <w:szCs w:val="24"/>
              </w:rPr>
              <w:lastRenderedPageBreak/>
              <w:t>Pētījuma ģeogrāfiskais aptvērums</w:t>
            </w:r>
          </w:p>
        </w:tc>
        <w:tc>
          <w:tcPr>
            <w:tcW w:w="4962" w:type="dxa"/>
          </w:tcPr>
          <w:p w:rsidR="008D3080" w:rsidRPr="001D600A" w:rsidRDefault="00E35F56" w:rsidP="009D160F">
            <w:pPr>
              <w:spacing w:before="240"/>
              <w:rPr>
                <w:rFonts w:ascii="Times New Roman" w:hAnsi="Times New Roman" w:cs="Times New Roman"/>
                <w:sz w:val="24"/>
                <w:szCs w:val="24"/>
              </w:rPr>
            </w:pPr>
            <w:r w:rsidRPr="001D600A">
              <w:rPr>
                <w:rFonts w:ascii="Times New Roman" w:hAnsi="Times New Roman" w:cs="Times New Roman"/>
                <w:sz w:val="24"/>
                <w:szCs w:val="24"/>
              </w:rPr>
              <w:t>Visa Latvija</w:t>
            </w:r>
          </w:p>
        </w:tc>
      </w:tr>
      <w:tr w:rsidR="001D600A" w:rsidRPr="001D600A" w:rsidTr="008D3080">
        <w:tc>
          <w:tcPr>
            <w:tcW w:w="4644" w:type="dxa"/>
          </w:tcPr>
          <w:p w:rsidR="008D3080" w:rsidRPr="001D600A" w:rsidRDefault="008D3080" w:rsidP="001D600A">
            <w:pPr>
              <w:spacing w:before="240"/>
              <w:rPr>
                <w:rFonts w:ascii="Times New Roman" w:hAnsi="Times New Roman" w:cs="Times New Roman"/>
                <w:sz w:val="24"/>
                <w:szCs w:val="24"/>
              </w:rPr>
            </w:pPr>
            <w:r w:rsidRPr="001D600A">
              <w:rPr>
                <w:rFonts w:ascii="Times New Roman" w:hAnsi="Times New Roman" w:cs="Times New Roman"/>
                <w:b/>
                <w:sz w:val="24"/>
                <w:szCs w:val="24"/>
              </w:rPr>
              <w:t>Pētījuma mērķa grupa/-as</w:t>
            </w:r>
          </w:p>
        </w:tc>
        <w:tc>
          <w:tcPr>
            <w:tcW w:w="4962" w:type="dxa"/>
          </w:tcPr>
          <w:p w:rsidR="00F41E5A" w:rsidRPr="001D600A" w:rsidRDefault="001C5B57" w:rsidP="001D600A">
            <w:pPr>
              <w:spacing w:before="240"/>
              <w:rPr>
                <w:rFonts w:ascii="Times New Roman" w:hAnsi="Times New Roman" w:cs="Times New Roman"/>
                <w:sz w:val="24"/>
                <w:szCs w:val="24"/>
              </w:rPr>
            </w:pPr>
            <w:r w:rsidRPr="001D600A">
              <w:rPr>
                <w:rFonts w:ascii="Times New Roman" w:hAnsi="Times New Roman" w:cs="Times New Roman"/>
                <w:sz w:val="24"/>
                <w:szCs w:val="24"/>
              </w:rPr>
              <w:t>Latvijā valsts un privātajā sektorā</w:t>
            </w:r>
            <w:r w:rsidR="001D600A" w:rsidRPr="001D600A">
              <w:rPr>
                <w:rFonts w:ascii="Times New Roman" w:hAnsi="Times New Roman" w:cs="Times New Roman"/>
                <w:sz w:val="24"/>
                <w:szCs w:val="24"/>
              </w:rPr>
              <w:t xml:space="preserve"> strādājošie</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b/>
                <w:sz w:val="24"/>
                <w:szCs w:val="24"/>
              </w:rPr>
            </w:pPr>
            <w:r w:rsidRPr="001D600A">
              <w:rPr>
                <w:rFonts w:ascii="Times New Roman" w:hAnsi="Times New Roman" w:cs="Times New Roman"/>
                <w:b/>
                <w:sz w:val="24"/>
                <w:szCs w:val="24"/>
              </w:rPr>
              <w:t>Pētījumā izmantotās metodes pēc informācijas ieguves veida:</w:t>
            </w:r>
          </w:p>
        </w:tc>
        <w:tc>
          <w:tcPr>
            <w:tcW w:w="4962" w:type="dxa"/>
          </w:tcPr>
          <w:p w:rsidR="008D3080" w:rsidRPr="001D600A" w:rsidRDefault="008D3080" w:rsidP="009D160F">
            <w:pPr>
              <w:spacing w:before="240"/>
              <w:rPr>
                <w:rFonts w:ascii="Times New Roman" w:hAnsi="Times New Roman" w:cs="Times New Roman"/>
                <w:sz w:val="24"/>
                <w:szCs w:val="24"/>
              </w:rPr>
            </w:pPr>
          </w:p>
        </w:tc>
      </w:tr>
      <w:tr w:rsidR="001D600A" w:rsidRPr="001D600A" w:rsidTr="008D3080">
        <w:tc>
          <w:tcPr>
            <w:tcW w:w="4644" w:type="dxa"/>
          </w:tcPr>
          <w:p w:rsidR="008D3080" w:rsidRPr="001D600A" w:rsidRDefault="008D3080" w:rsidP="009D160F">
            <w:pPr>
              <w:spacing w:before="240"/>
              <w:rPr>
                <w:rFonts w:ascii="Times New Roman" w:hAnsi="Times New Roman" w:cs="Times New Roman"/>
                <w:sz w:val="24"/>
                <w:szCs w:val="24"/>
              </w:rPr>
            </w:pPr>
            <w:r w:rsidRPr="001D600A">
              <w:rPr>
                <w:rFonts w:ascii="Times New Roman" w:hAnsi="Times New Roman" w:cs="Times New Roman"/>
                <w:sz w:val="24"/>
                <w:szCs w:val="24"/>
              </w:rPr>
              <w:t>1) tiesību aktu vai politikas plānošanas dokumentu analīze</w:t>
            </w:r>
          </w:p>
        </w:tc>
        <w:tc>
          <w:tcPr>
            <w:tcW w:w="4962" w:type="dxa"/>
          </w:tcPr>
          <w:p w:rsidR="008D3080" w:rsidRPr="001D600A" w:rsidRDefault="008D3080" w:rsidP="009D160F">
            <w:pPr>
              <w:spacing w:before="240"/>
              <w:rPr>
                <w:rFonts w:ascii="Times New Roman" w:hAnsi="Times New Roman" w:cs="Times New Roman"/>
                <w:sz w:val="24"/>
                <w:szCs w:val="24"/>
              </w:rPr>
            </w:pPr>
            <w:r w:rsidRPr="001D600A">
              <w:rPr>
                <w:rFonts w:ascii="Times New Roman" w:hAnsi="Times New Roman" w:cs="Times New Roman"/>
                <w:sz w:val="24"/>
                <w:szCs w:val="24"/>
              </w:rPr>
              <w:t>Jā</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sz w:val="24"/>
                <w:szCs w:val="24"/>
              </w:rPr>
            </w:pPr>
            <w:r w:rsidRPr="001D600A">
              <w:rPr>
                <w:rFonts w:ascii="Times New Roman" w:hAnsi="Times New Roman" w:cs="Times New Roman"/>
                <w:sz w:val="24"/>
                <w:szCs w:val="24"/>
              </w:rPr>
              <w:t>2) statistikas datu analīze</w:t>
            </w:r>
          </w:p>
        </w:tc>
        <w:tc>
          <w:tcPr>
            <w:tcW w:w="4962" w:type="dxa"/>
          </w:tcPr>
          <w:p w:rsidR="008D3080" w:rsidRPr="001D600A" w:rsidRDefault="00540B90" w:rsidP="009D160F">
            <w:pPr>
              <w:spacing w:before="240"/>
              <w:rPr>
                <w:rFonts w:ascii="Times New Roman" w:hAnsi="Times New Roman" w:cs="Times New Roman"/>
                <w:sz w:val="24"/>
                <w:szCs w:val="24"/>
              </w:rPr>
            </w:pPr>
            <w:r>
              <w:rPr>
                <w:rFonts w:ascii="Times New Roman" w:hAnsi="Times New Roman" w:cs="Times New Roman"/>
                <w:sz w:val="24"/>
                <w:szCs w:val="24"/>
              </w:rPr>
              <w:t>Jā</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sz w:val="24"/>
                <w:szCs w:val="24"/>
              </w:rPr>
            </w:pPr>
            <w:r w:rsidRPr="001D600A">
              <w:rPr>
                <w:rFonts w:ascii="Times New Roman" w:hAnsi="Times New Roman" w:cs="Times New Roman"/>
                <w:sz w:val="24"/>
                <w:szCs w:val="24"/>
              </w:rPr>
              <w:t>3) esošo pētījumu datu sekundārā analīze</w:t>
            </w:r>
          </w:p>
        </w:tc>
        <w:tc>
          <w:tcPr>
            <w:tcW w:w="4962" w:type="dxa"/>
          </w:tcPr>
          <w:p w:rsidR="008D3080" w:rsidRPr="001D600A" w:rsidRDefault="007647BB" w:rsidP="009D160F">
            <w:pPr>
              <w:spacing w:before="240"/>
              <w:rPr>
                <w:rFonts w:ascii="Times New Roman" w:hAnsi="Times New Roman" w:cs="Times New Roman"/>
                <w:sz w:val="24"/>
                <w:szCs w:val="24"/>
              </w:rPr>
            </w:pPr>
            <w:r w:rsidRPr="001D600A">
              <w:rPr>
                <w:rFonts w:ascii="Times New Roman" w:hAnsi="Times New Roman" w:cs="Times New Roman"/>
                <w:sz w:val="24"/>
                <w:szCs w:val="24"/>
              </w:rPr>
              <w:t>Jā</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sz w:val="24"/>
                <w:szCs w:val="24"/>
              </w:rPr>
            </w:pPr>
            <w:r w:rsidRPr="001D600A">
              <w:rPr>
                <w:rFonts w:ascii="Times New Roman" w:hAnsi="Times New Roman" w:cs="Times New Roman"/>
                <w:sz w:val="24"/>
                <w:szCs w:val="24"/>
              </w:rPr>
              <w:t>4) padziļināto/ekspertu interviju veikšana un analīze</w:t>
            </w:r>
          </w:p>
        </w:tc>
        <w:tc>
          <w:tcPr>
            <w:tcW w:w="4962" w:type="dxa"/>
          </w:tcPr>
          <w:p w:rsidR="008D3080" w:rsidRPr="001D600A" w:rsidRDefault="007647BB" w:rsidP="009D160F">
            <w:pPr>
              <w:spacing w:before="240"/>
              <w:rPr>
                <w:rFonts w:ascii="Times New Roman" w:hAnsi="Times New Roman" w:cs="Times New Roman"/>
                <w:sz w:val="24"/>
                <w:szCs w:val="24"/>
              </w:rPr>
            </w:pPr>
            <w:r w:rsidRPr="001D600A">
              <w:rPr>
                <w:rFonts w:ascii="Times New Roman" w:hAnsi="Times New Roman" w:cs="Times New Roman"/>
                <w:sz w:val="24"/>
                <w:szCs w:val="24"/>
              </w:rPr>
              <w:t>-</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sz w:val="24"/>
                <w:szCs w:val="24"/>
              </w:rPr>
            </w:pPr>
            <w:r w:rsidRPr="001D600A">
              <w:rPr>
                <w:rFonts w:ascii="Times New Roman" w:hAnsi="Times New Roman" w:cs="Times New Roman"/>
                <w:sz w:val="24"/>
                <w:szCs w:val="24"/>
              </w:rPr>
              <w:t>5) fokusa grupu diskusiju veikšana un analīze</w:t>
            </w:r>
          </w:p>
        </w:tc>
        <w:tc>
          <w:tcPr>
            <w:tcW w:w="4962" w:type="dxa"/>
          </w:tcPr>
          <w:p w:rsidR="008D3080" w:rsidRPr="001D600A" w:rsidRDefault="007647BB" w:rsidP="009D160F">
            <w:pPr>
              <w:spacing w:before="240"/>
              <w:rPr>
                <w:rFonts w:ascii="Times New Roman" w:hAnsi="Times New Roman" w:cs="Times New Roman"/>
                <w:sz w:val="24"/>
                <w:szCs w:val="24"/>
              </w:rPr>
            </w:pPr>
            <w:r w:rsidRPr="001D600A">
              <w:rPr>
                <w:rFonts w:ascii="Times New Roman" w:hAnsi="Times New Roman" w:cs="Times New Roman"/>
                <w:sz w:val="24"/>
                <w:szCs w:val="24"/>
              </w:rPr>
              <w:t>-</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sz w:val="24"/>
                <w:szCs w:val="24"/>
              </w:rPr>
            </w:pPr>
            <w:r w:rsidRPr="001D600A">
              <w:rPr>
                <w:rFonts w:ascii="Times New Roman" w:hAnsi="Times New Roman" w:cs="Times New Roman"/>
                <w:sz w:val="24"/>
                <w:szCs w:val="24"/>
              </w:rPr>
              <w:t>6) gadījumu izpēte</w:t>
            </w:r>
          </w:p>
        </w:tc>
        <w:tc>
          <w:tcPr>
            <w:tcW w:w="4962" w:type="dxa"/>
          </w:tcPr>
          <w:p w:rsidR="008D3080" w:rsidRPr="001D600A" w:rsidRDefault="007647BB" w:rsidP="009D160F">
            <w:pPr>
              <w:spacing w:before="240"/>
              <w:rPr>
                <w:rFonts w:ascii="Times New Roman" w:hAnsi="Times New Roman" w:cs="Times New Roman"/>
                <w:sz w:val="24"/>
                <w:szCs w:val="24"/>
              </w:rPr>
            </w:pPr>
            <w:r w:rsidRPr="001D600A">
              <w:rPr>
                <w:rFonts w:ascii="Times New Roman" w:hAnsi="Times New Roman" w:cs="Times New Roman"/>
                <w:sz w:val="24"/>
                <w:szCs w:val="24"/>
              </w:rPr>
              <w:t>-</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sz w:val="24"/>
                <w:szCs w:val="24"/>
              </w:rPr>
            </w:pPr>
            <w:r w:rsidRPr="001D600A">
              <w:rPr>
                <w:rFonts w:ascii="Times New Roman" w:hAnsi="Times New Roman" w:cs="Times New Roman"/>
                <w:sz w:val="24"/>
                <w:szCs w:val="24"/>
              </w:rPr>
              <w:t>7) kvantitatīvās aptaujas veikšana un datu analīze</w:t>
            </w:r>
          </w:p>
        </w:tc>
        <w:tc>
          <w:tcPr>
            <w:tcW w:w="4962" w:type="dxa"/>
          </w:tcPr>
          <w:p w:rsidR="008D3080" w:rsidRPr="001D600A" w:rsidRDefault="007647BB" w:rsidP="009D160F">
            <w:pPr>
              <w:spacing w:before="240"/>
              <w:rPr>
                <w:rFonts w:ascii="Times New Roman" w:hAnsi="Times New Roman" w:cs="Times New Roman"/>
                <w:sz w:val="24"/>
                <w:szCs w:val="24"/>
              </w:rPr>
            </w:pPr>
            <w:r w:rsidRPr="001D600A">
              <w:rPr>
                <w:rFonts w:ascii="Times New Roman" w:hAnsi="Times New Roman" w:cs="Times New Roman"/>
                <w:sz w:val="24"/>
                <w:szCs w:val="24"/>
              </w:rPr>
              <w:t>Jā</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sz w:val="24"/>
                <w:szCs w:val="24"/>
              </w:rPr>
            </w:pPr>
            <w:r w:rsidRPr="001D600A">
              <w:rPr>
                <w:rFonts w:ascii="Times New Roman" w:hAnsi="Times New Roman" w:cs="Times New Roman"/>
                <w:sz w:val="24"/>
                <w:szCs w:val="24"/>
              </w:rPr>
              <w:t>8) citas metodes (norādīt, kādas)</w:t>
            </w:r>
          </w:p>
        </w:tc>
        <w:tc>
          <w:tcPr>
            <w:tcW w:w="4962" w:type="dxa"/>
          </w:tcPr>
          <w:p w:rsidR="008D3080" w:rsidRPr="001D600A" w:rsidRDefault="007647BB" w:rsidP="009D160F">
            <w:pPr>
              <w:spacing w:before="240"/>
              <w:rPr>
                <w:rFonts w:ascii="Times New Roman" w:hAnsi="Times New Roman" w:cs="Times New Roman"/>
                <w:sz w:val="24"/>
                <w:szCs w:val="24"/>
              </w:rPr>
            </w:pPr>
            <w:r w:rsidRPr="001D600A">
              <w:rPr>
                <w:rFonts w:ascii="Times New Roman" w:hAnsi="Times New Roman" w:cs="Times New Roman"/>
                <w:sz w:val="24"/>
                <w:szCs w:val="24"/>
              </w:rPr>
              <w:t>-</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b/>
                <w:sz w:val="24"/>
                <w:szCs w:val="24"/>
              </w:rPr>
            </w:pPr>
            <w:r w:rsidRPr="001D600A">
              <w:rPr>
                <w:rFonts w:ascii="Times New Roman" w:hAnsi="Times New Roman" w:cs="Times New Roman"/>
                <w:b/>
                <w:sz w:val="24"/>
                <w:szCs w:val="24"/>
              </w:rPr>
              <w:t>Kvantitatīvās pētījuma metodes</w:t>
            </w:r>
          </w:p>
        </w:tc>
        <w:tc>
          <w:tcPr>
            <w:tcW w:w="4962" w:type="dxa"/>
          </w:tcPr>
          <w:p w:rsidR="008D3080" w:rsidRPr="001D600A" w:rsidRDefault="008D3080" w:rsidP="009D160F">
            <w:pPr>
              <w:spacing w:before="240"/>
              <w:rPr>
                <w:rFonts w:ascii="Times New Roman" w:hAnsi="Times New Roman" w:cs="Times New Roman"/>
                <w:sz w:val="24"/>
                <w:szCs w:val="24"/>
              </w:rPr>
            </w:pPr>
          </w:p>
        </w:tc>
      </w:tr>
      <w:tr w:rsidR="001D600A" w:rsidRPr="001D600A" w:rsidTr="008D3080">
        <w:tc>
          <w:tcPr>
            <w:tcW w:w="4644" w:type="dxa"/>
          </w:tcPr>
          <w:p w:rsidR="008D3080" w:rsidRPr="001D600A" w:rsidRDefault="008D3080" w:rsidP="009D160F">
            <w:pPr>
              <w:spacing w:before="240"/>
              <w:rPr>
                <w:rFonts w:ascii="Times New Roman" w:hAnsi="Times New Roman" w:cs="Times New Roman"/>
                <w:sz w:val="24"/>
                <w:szCs w:val="24"/>
              </w:rPr>
            </w:pPr>
            <w:r w:rsidRPr="001D600A">
              <w:rPr>
                <w:rFonts w:ascii="Times New Roman" w:hAnsi="Times New Roman" w:cs="Times New Roman"/>
                <w:sz w:val="24"/>
                <w:szCs w:val="24"/>
              </w:rPr>
              <w:t>1) aptaujas izlases metode</w:t>
            </w:r>
          </w:p>
        </w:tc>
        <w:tc>
          <w:tcPr>
            <w:tcW w:w="4962" w:type="dxa"/>
          </w:tcPr>
          <w:p w:rsidR="008D3080" w:rsidRPr="001D600A" w:rsidRDefault="007647BB" w:rsidP="009D160F">
            <w:pPr>
              <w:spacing w:before="240"/>
              <w:rPr>
                <w:rFonts w:ascii="Times New Roman" w:hAnsi="Times New Roman" w:cs="Times New Roman"/>
                <w:sz w:val="24"/>
                <w:szCs w:val="24"/>
              </w:rPr>
            </w:pPr>
            <w:r w:rsidRPr="001D600A">
              <w:rPr>
                <w:rFonts w:ascii="Times New Roman" w:hAnsi="Times New Roman" w:cs="Times New Roman"/>
                <w:sz w:val="24"/>
                <w:szCs w:val="24"/>
              </w:rPr>
              <w:t>Vienkāršā gadījum izlase</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sz w:val="24"/>
                <w:szCs w:val="24"/>
              </w:rPr>
            </w:pPr>
            <w:r w:rsidRPr="001D600A">
              <w:rPr>
                <w:rFonts w:ascii="Times New Roman" w:hAnsi="Times New Roman" w:cs="Times New Roman"/>
                <w:sz w:val="24"/>
                <w:szCs w:val="24"/>
              </w:rPr>
              <w:t>2) aptaujāto respondentu/vienību skaits</w:t>
            </w:r>
          </w:p>
        </w:tc>
        <w:tc>
          <w:tcPr>
            <w:tcW w:w="4962" w:type="dxa"/>
          </w:tcPr>
          <w:p w:rsidR="008D3080" w:rsidRPr="001D600A" w:rsidRDefault="007647BB" w:rsidP="009D160F">
            <w:pPr>
              <w:spacing w:before="240"/>
              <w:rPr>
                <w:rFonts w:ascii="Times New Roman" w:hAnsi="Times New Roman" w:cs="Times New Roman"/>
                <w:sz w:val="24"/>
                <w:szCs w:val="24"/>
              </w:rPr>
            </w:pPr>
            <w:r w:rsidRPr="001D600A">
              <w:rPr>
                <w:rFonts w:ascii="Times New Roman" w:hAnsi="Times New Roman" w:cs="Times New Roman"/>
                <w:sz w:val="24"/>
                <w:szCs w:val="24"/>
              </w:rPr>
              <w:t xml:space="preserve">181 atsevišķa juridiska vienība privātajā sektorā, atalgojums analizēts par 17906 darbinieku </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b/>
                <w:sz w:val="24"/>
                <w:szCs w:val="24"/>
              </w:rPr>
            </w:pPr>
            <w:r w:rsidRPr="001D600A">
              <w:rPr>
                <w:rFonts w:ascii="Times New Roman" w:hAnsi="Times New Roman" w:cs="Times New Roman"/>
                <w:b/>
                <w:sz w:val="24"/>
                <w:szCs w:val="24"/>
              </w:rPr>
              <w:t>Kvalitatīvās pētījuma metodes</w:t>
            </w:r>
          </w:p>
        </w:tc>
        <w:tc>
          <w:tcPr>
            <w:tcW w:w="4962" w:type="dxa"/>
          </w:tcPr>
          <w:p w:rsidR="008D3080" w:rsidRPr="001D600A" w:rsidRDefault="008D3080" w:rsidP="009D160F">
            <w:pPr>
              <w:spacing w:before="240"/>
              <w:rPr>
                <w:rFonts w:ascii="Times New Roman" w:hAnsi="Times New Roman" w:cs="Times New Roman"/>
                <w:sz w:val="24"/>
                <w:szCs w:val="24"/>
              </w:rPr>
            </w:pPr>
          </w:p>
        </w:tc>
      </w:tr>
      <w:tr w:rsidR="001D600A" w:rsidRPr="001D600A" w:rsidTr="008D3080">
        <w:tc>
          <w:tcPr>
            <w:tcW w:w="4644" w:type="dxa"/>
          </w:tcPr>
          <w:p w:rsidR="008D3080" w:rsidRPr="001D600A" w:rsidRDefault="008D3080" w:rsidP="009D160F">
            <w:pPr>
              <w:spacing w:before="240"/>
              <w:rPr>
                <w:rFonts w:ascii="Times New Roman" w:hAnsi="Times New Roman" w:cs="Times New Roman"/>
                <w:sz w:val="24"/>
                <w:szCs w:val="24"/>
              </w:rPr>
            </w:pPr>
            <w:r w:rsidRPr="001D600A">
              <w:rPr>
                <w:rFonts w:ascii="Times New Roman" w:hAnsi="Times New Roman" w:cs="Times New Roman"/>
                <w:sz w:val="24"/>
                <w:szCs w:val="24"/>
              </w:rPr>
              <w:t>1) padziļināto/ekspertu interviju skaits (ja attiecināms)</w:t>
            </w:r>
          </w:p>
        </w:tc>
        <w:tc>
          <w:tcPr>
            <w:tcW w:w="4962" w:type="dxa"/>
          </w:tcPr>
          <w:p w:rsidR="008D3080" w:rsidRPr="001D600A" w:rsidRDefault="007647BB" w:rsidP="009D160F">
            <w:pPr>
              <w:spacing w:before="240"/>
              <w:rPr>
                <w:rFonts w:ascii="Times New Roman" w:hAnsi="Times New Roman" w:cs="Times New Roman"/>
                <w:sz w:val="24"/>
                <w:szCs w:val="24"/>
              </w:rPr>
            </w:pPr>
            <w:r w:rsidRPr="001D600A">
              <w:rPr>
                <w:rFonts w:ascii="Times New Roman" w:hAnsi="Times New Roman" w:cs="Times New Roman"/>
                <w:sz w:val="24"/>
                <w:szCs w:val="24"/>
              </w:rPr>
              <w:t>-</w:t>
            </w:r>
          </w:p>
        </w:tc>
      </w:tr>
      <w:tr w:rsidR="001D600A" w:rsidRPr="001D600A" w:rsidTr="00E35F56">
        <w:trPr>
          <w:trHeight w:val="865"/>
        </w:trPr>
        <w:tc>
          <w:tcPr>
            <w:tcW w:w="4644" w:type="dxa"/>
          </w:tcPr>
          <w:p w:rsidR="008D3080" w:rsidRPr="001D600A" w:rsidRDefault="008D3080" w:rsidP="009D160F">
            <w:pPr>
              <w:spacing w:before="240"/>
              <w:rPr>
                <w:rFonts w:ascii="Times New Roman" w:hAnsi="Times New Roman" w:cs="Times New Roman"/>
                <w:sz w:val="24"/>
                <w:szCs w:val="24"/>
              </w:rPr>
            </w:pPr>
            <w:r w:rsidRPr="001D600A">
              <w:rPr>
                <w:rFonts w:ascii="Times New Roman" w:hAnsi="Times New Roman" w:cs="Times New Roman"/>
                <w:sz w:val="24"/>
                <w:szCs w:val="24"/>
              </w:rPr>
              <w:t>2) fokusa grupu diskusiju skaits (ja attiecināms)</w:t>
            </w:r>
          </w:p>
        </w:tc>
        <w:tc>
          <w:tcPr>
            <w:tcW w:w="4962" w:type="dxa"/>
          </w:tcPr>
          <w:p w:rsidR="008D3080" w:rsidRPr="001D600A" w:rsidRDefault="007647BB" w:rsidP="009D160F">
            <w:pPr>
              <w:spacing w:before="240"/>
              <w:jc w:val="both"/>
              <w:rPr>
                <w:rFonts w:ascii="Times New Roman" w:hAnsi="Times New Roman" w:cs="Times New Roman"/>
                <w:sz w:val="24"/>
                <w:szCs w:val="24"/>
              </w:rPr>
            </w:pPr>
            <w:r w:rsidRPr="001D600A">
              <w:rPr>
                <w:rFonts w:ascii="Times New Roman" w:hAnsi="Times New Roman" w:cs="Times New Roman"/>
                <w:sz w:val="24"/>
                <w:szCs w:val="24"/>
              </w:rPr>
              <w:t>-</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b/>
                <w:sz w:val="24"/>
                <w:szCs w:val="24"/>
              </w:rPr>
            </w:pPr>
            <w:r w:rsidRPr="001D600A">
              <w:rPr>
                <w:rFonts w:ascii="Times New Roman" w:hAnsi="Times New Roman" w:cs="Times New Roman"/>
                <w:b/>
                <w:sz w:val="24"/>
                <w:szCs w:val="24"/>
              </w:rPr>
              <w:t>Izmantotās analīzes grupas (griezumi)</w:t>
            </w:r>
          </w:p>
        </w:tc>
        <w:tc>
          <w:tcPr>
            <w:tcW w:w="4962" w:type="dxa"/>
          </w:tcPr>
          <w:p w:rsidR="00F41E5A" w:rsidRPr="001D600A" w:rsidRDefault="007647BB" w:rsidP="001D600A">
            <w:pPr>
              <w:spacing w:before="240"/>
              <w:ind w:left="34"/>
              <w:jc w:val="both"/>
              <w:rPr>
                <w:rFonts w:ascii="Times New Roman" w:hAnsi="Times New Roman" w:cs="Times New Roman"/>
                <w:sz w:val="24"/>
                <w:szCs w:val="24"/>
              </w:rPr>
            </w:pPr>
            <w:r w:rsidRPr="001D600A">
              <w:rPr>
                <w:rFonts w:ascii="Times New Roman" w:hAnsi="Times New Roman" w:cs="Times New Roman"/>
                <w:sz w:val="24"/>
                <w:szCs w:val="24"/>
              </w:rPr>
              <w:t>Mēneša pamatalga</w:t>
            </w:r>
            <w:r w:rsidR="001D600A">
              <w:rPr>
                <w:rFonts w:ascii="Times New Roman" w:hAnsi="Times New Roman" w:cs="Times New Roman"/>
                <w:sz w:val="24"/>
                <w:szCs w:val="24"/>
              </w:rPr>
              <w:t>, m</w:t>
            </w:r>
            <w:r w:rsidRPr="001D600A">
              <w:rPr>
                <w:rFonts w:ascii="Times New Roman" w:hAnsi="Times New Roman" w:cs="Times New Roman"/>
                <w:sz w:val="24"/>
                <w:szCs w:val="24"/>
              </w:rPr>
              <w:t xml:space="preserve">ēneša kopējā alga, </w:t>
            </w:r>
            <w:r w:rsidR="001D600A">
              <w:rPr>
                <w:rFonts w:ascii="Times New Roman" w:hAnsi="Times New Roman" w:cs="Times New Roman"/>
                <w:sz w:val="24"/>
                <w:szCs w:val="24"/>
              </w:rPr>
              <w:t>g</w:t>
            </w:r>
            <w:r w:rsidRPr="001D600A">
              <w:rPr>
                <w:rFonts w:ascii="Times New Roman" w:hAnsi="Times New Roman" w:cs="Times New Roman"/>
                <w:sz w:val="24"/>
                <w:szCs w:val="24"/>
              </w:rPr>
              <w:t>ada pamatalga, gada kopējā alga</w:t>
            </w:r>
          </w:p>
        </w:tc>
      </w:tr>
      <w:tr w:rsidR="001D600A" w:rsidRPr="001D600A" w:rsidTr="008D3080">
        <w:tc>
          <w:tcPr>
            <w:tcW w:w="4644" w:type="dxa"/>
          </w:tcPr>
          <w:p w:rsidR="008D3080" w:rsidRPr="001D600A" w:rsidRDefault="008D3080" w:rsidP="009D160F">
            <w:pPr>
              <w:spacing w:before="240"/>
              <w:rPr>
                <w:rFonts w:ascii="Times New Roman" w:hAnsi="Times New Roman" w:cs="Times New Roman"/>
                <w:b/>
                <w:sz w:val="24"/>
                <w:szCs w:val="24"/>
              </w:rPr>
            </w:pPr>
            <w:r w:rsidRPr="001D600A">
              <w:rPr>
                <w:rFonts w:ascii="Times New Roman" w:hAnsi="Times New Roman" w:cs="Times New Roman"/>
                <w:b/>
                <w:sz w:val="24"/>
                <w:szCs w:val="24"/>
              </w:rPr>
              <w:t>Pētījuma pasūtītāja kontaktinformācija</w:t>
            </w:r>
          </w:p>
        </w:tc>
        <w:tc>
          <w:tcPr>
            <w:tcW w:w="4962" w:type="dxa"/>
          </w:tcPr>
          <w:p w:rsidR="008D3080" w:rsidRPr="001D600A" w:rsidRDefault="00E35F56" w:rsidP="009D160F">
            <w:pPr>
              <w:spacing w:before="240"/>
              <w:rPr>
                <w:rFonts w:ascii="Times New Roman" w:hAnsi="Times New Roman" w:cs="Times New Roman"/>
                <w:sz w:val="24"/>
                <w:szCs w:val="24"/>
              </w:rPr>
            </w:pPr>
            <w:r w:rsidRPr="001D600A">
              <w:rPr>
                <w:rFonts w:ascii="Times New Roman" w:hAnsi="Times New Roman" w:cs="Times New Roman"/>
                <w:sz w:val="24"/>
                <w:szCs w:val="24"/>
              </w:rPr>
              <w:t>Baiba Medvecka</w:t>
            </w:r>
            <w:r w:rsidR="008D3080" w:rsidRPr="001D600A">
              <w:rPr>
                <w:rFonts w:ascii="Times New Roman" w:hAnsi="Times New Roman" w:cs="Times New Roman"/>
                <w:sz w:val="24"/>
                <w:szCs w:val="24"/>
              </w:rPr>
              <w:t>, tālr. 6708297</w:t>
            </w:r>
            <w:r w:rsidRPr="001D600A">
              <w:rPr>
                <w:rFonts w:ascii="Times New Roman" w:hAnsi="Times New Roman" w:cs="Times New Roman"/>
                <w:sz w:val="24"/>
                <w:szCs w:val="24"/>
              </w:rPr>
              <w:t>7</w:t>
            </w:r>
            <w:r w:rsidR="008D3080" w:rsidRPr="001D600A">
              <w:rPr>
                <w:rFonts w:ascii="Times New Roman" w:hAnsi="Times New Roman" w:cs="Times New Roman"/>
                <w:sz w:val="24"/>
                <w:szCs w:val="24"/>
              </w:rPr>
              <w:t xml:space="preserve"> </w:t>
            </w:r>
            <w:hyperlink r:id="rId8" w:history="1">
              <w:r w:rsidR="00EE4AF5" w:rsidRPr="001D600A">
                <w:rPr>
                  <w:rStyle w:val="Hyperlink"/>
                  <w:rFonts w:ascii="Times New Roman" w:hAnsi="Times New Roman" w:cs="Times New Roman"/>
                  <w:color w:val="auto"/>
                  <w:sz w:val="24"/>
                  <w:szCs w:val="24"/>
                </w:rPr>
                <w:t>baiba.medvecka@mk.gov.lv</w:t>
              </w:r>
            </w:hyperlink>
          </w:p>
        </w:tc>
      </w:tr>
      <w:tr w:rsidR="001D600A" w:rsidRPr="001D600A" w:rsidTr="008D3080">
        <w:tc>
          <w:tcPr>
            <w:tcW w:w="4644" w:type="dxa"/>
          </w:tcPr>
          <w:p w:rsidR="008D3080" w:rsidRPr="001D600A" w:rsidRDefault="008D3080" w:rsidP="009D160F">
            <w:pPr>
              <w:spacing w:before="240"/>
              <w:rPr>
                <w:rFonts w:ascii="Times New Roman" w:hAnsi="Times New Roman" w:cs="Times New Roman"/>
                <w:b/>
                <w:sz w:val="24"/>
                <w:szCs w:val="24"/>
              </w:rPr>
            </w:pPr>
            <w:r w:rsidRPr="001D600A">
              <w:rPr>
                <w:rFonts w:ascii="Times New Roman" w:hAnsi="Times New Roman" w:cs="Times New Roman"/>
                <w:b/>
                <w:sz w:val="24"/>
                <w:szCs w:val="24"/>
              </w:rPr>
              <w:t>Pētījuma autori (autortiesību subjekti)</w:t>
            </w:r>
          </w:p>
        </w:tc>
        <w:tc>
          <w:tcPr>
            <w:tcW w:w="4962" w:type="dxa"/>
          </w:tcPr>
          <w:p w:rsidR="008D3080" w:rsidRPr="001D600A" w:rsidRDefault="007647BB" w:rsidP="009D160F">
            <w:pPr>
              <w:spacing w:before="240"/>
              <w:jc w:val="both"/>
              <w:rPr>
                <w:rFonts w:ascii="Times New Roman" w:hAnsi="Times New Roman" w:cs="Times New Roman"/>
                <w:sz w:val="24"/>
                <w:szCs w:val="24"/>
              </w:rPr>
            </w:pPr>
            <w:r w:rsidRPr="001D600A">
              <w:rPr>
                <w:rFonts w:ascii="Times New Roman" w:hAnsi="Times New Roman" w:cs="Times New Roman"/>
                <w:sz w:val="24"/>
                <w:szCs w:val="24"/>
              </w:rPr>
              <w:t>SIA Fontes Vadības Konsultācijas</w:t>
            </w:r>
          </w:p>
        </w:tc>
      </w:tr>
    </w:tbl>
    <w:p w:rsidR="00E8597F" w:rsidRPr="009D160F" w:rsidRDefault="00E8597F" w:rsidP="001D600A">
      <w:pPr>
        <w:spacing w:before="240" w:after="0"/>
        <w:rPr>
          <w:rFonts w:ascii="Times New Roman" w:hAnsi="Times New Roman" w:cs="Times New Roman"/>
        </w:rPr>
      </w:pPr>
    </w:p>
    <w:sectPr w:rsidR="00E8597F" w:rsidRPr="009D160F" w:rsidSect="00640623">
      <w:footerReference w:type="default" r:id="rId9"/>
      <w:pgSz w:w="11906" w:h="16838"/>
      <w:pgMar w:top="851" w:right="1274" w:bottom="851" w:left="107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3F7" w:rsidRDefault="006213F7">
      <w:pPr>
        <w:spacing w:after="0" w:line="240" w:lineRule="auto"/>
      </w:pPr>
      <w:r>
        <w:separator/>
      </w:r>
    </w:p>
  </w:endnote>
  <w:endnote w:type="continuationSeparator" w:id="0">
    <w:p w:rsidR="006213F7" w:rsidRDefault="00621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56438"/>
      <w:docPartObj>
        <w:docPartGallery w:val="Page Numbers (Bottom of Page)"/>
        <w:docPartUnique/>
      </w:docPartObj>
    </w:sdtPr>
    <w:sdtEndPr>
      <w:rPr>
        <w:rFonts w:ascii="Times New Roman" w:hAnsi="Times New Roman" w:cs="Times New Roman"/>
      </w:rPr>
    </w:sdtEndPr>
    <w:sdtContent>
      <w:p w:rsidR="00F41E5A" w:rsidRPr="006449CB" w:rsidRDefault="00F41E5A">
        <w:pPr>
          <w:pStyle w:val="Footer"/>
          <w:jc w:val="center"/>
          <w:rPr>
            <w:rFonts w:ascii="Times New Roman" w:hAnsi="Times New Roman" w:cs="Times New Roman"/>
          </w:rPr>
        </w:pPr>
        <w:r w:rsidRPr="006449CB">
          <w:rPr>
            <w:rFonts w:ascii="Times New Roman" w:hAnsi="Times New Roman" w:cs="Times New Roman"/>
          </w:rPr>
          <w:fldChar w:fldCharType="begin"/>
        </w:r>
        <w:r w:rsidRPr="006449CB">
          <w:rPr>
            <w:rFonts w:ascii="Times New Roman" w:hAnsi="Times New Roman" w:cs="Times New Roman"/>
          </w:rPr>
          <w:instrText xml:space="preserve"> PAGE   \* MERGEFORMAT </w:instrText>
        </w:r>
        <w:r w:rsidRPr="006449CB">
          <w:rPr>
            <w:rFonts w:ascii="Times New Roman" w:hAnsi="Times New Roman" w:cs="Times New Roman"/>
          </w:rPr>
          <w:fldChar w:fldCharType="separate"/>
        </w:r>
        <w:r w:rsidR="00577256">
          <w:rPr>
            <w:rFonts w:ascii="Times New Roman" w:hAnsi="Times New Roman" w:cs="Times New Roman"/>
            <w:noProof/>
          </w:rPr>
          <w:t>2</w:t>
        </w:r>
        <w:r w:rsidRPr="006449CB">
          <w:rPr>
            <w:rFonts w:ascii="Times New Roman" w:hAnsi="Times New Roman" w:cs="Times New Roman"/>
            <w:noProof/>
          </w:rPr>
          <w:fldChar w:fldCharType="end"/>
        </w:r>
      </w:p>
    </w:sdtContent>
  </w:sdt>
  <w:p w:rsidR="00F41E5A" w:rsidRDefault="00F41E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3F7" w:rsidRDefault="006213F7">
      <w:pPr>
        <w:spacing w:after="0" w:line="240" w:lineRule="auto"/>
      </w:pPr>
      <w:r>
        <w:separator/>
      </w:r>
    </w:p>
  </w:footnote>
  <w:footnote w:type="continuationSeparator" w:id="0">
    <w:p w:rsidR="006213F7" w:rsidRDefault="006213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69DF"/>
    <w:multiLevelType w:val="hybridMultilevel"/>
    <w:tmpl w:val="DC229B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FFE3A40"/>
    <w:multiLevelType w:val="hybridMultilevel"/>
    <w:tmpl w:val="CDE090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5824272"/>
    <w:multiLevelType w:val="hybridMultilevel"/>
    <w:tmpl w:val="BBD21E1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nsid w:val="1E8C15A4"/>
    <w:multiLevelType w:val="hybridMultilevel"/>
    <w:tmpl w:val="E2B4C8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6795571"/>
    <w:multiLevelType w:val="hybridMultilevel"/>
    <w:tmpl w:val="2196F4E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492720AF"/>
    <w:multiLevelType w:val="hybridMultilevel"/>
    <w:tmpl w:val="632022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4010CE8"/>
    <w:multiLevelType w:val="hybridMultilevel"/>
    <w:tmpl w:val="14F459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80"/>
    <w:rsid w:val="000105F3"/>
    <w:rsid w:val="000C0996"/>
    <w:rsid w:val="001C0908"/>
    <w:rsid w:val="001C5B57"/>
    <w:rsid w:val="001D600A"/>
    <w:rsid w:val="002045AF"/>
    <w:rsid w:val="002063F9"/>
    <w:rsid w:val="00283ECA"/>
    <w:rsid w:val="002B2084"/>
    <w:rsid w:val="00330F18"/>
    <w:rsid w:val="003E5977"/>
    <w:rsid w:val="003F7905"/>
    <w:rsid w:val="00412E88"/>
    <w:rsid w:val="00540B90"/>
    <w:rsid w:val="00572749"/>
    <w:rsid w:val="00577256"/>
    <w:rsid w:val="006213F7"/>
    <w:rsid w:val="006228B4"/>
    <w:rsid w:val="00640623"/>
    <w:rsid w:val="00686C62"/>
    <w:rsid w:val="006D41A6"/>
    <w:rsid w:val="006E7946"/>
    <w:rsid w:val="00752323"/>
    <w:rsid w:val="007647BB"/>
    <w:rsid w:val="008777D6"/>
    <w:rsid w:val="008D3080"/>
    <w:rsid w:val="008F5BDA"/>
    <w:rsid w:val="00966A2A"/>
    <w:rsid w:val="009D160F"/>
    <w:rsid w:val="00A14E5D"/>
    <w:rsid w:val="00A9391D"/>
    <w:rsid w:val="00AB4DAE"/>
    <w:rsid w:val="00AD1408"/>
    <w:rsid w:val="00B35BB5"/>
    <w:rsid w:val="00B46092"/>
    <w:rsid w:val="00C40811"/>
    <w:rsid w:val="00CA6201"/>
    <w:rsid w:val="00E10831"/>
    <w:rsid w:val="00E35F56"/>
    <w:rsid w:val="00E50D09"/>
    <w:rsid w:val="00E8597F"/>
    <w:rsid w:val="00EE4AF5"/>
    <w:rsid w:val="00EF0095"/>
    <w:rsid w:val="00EF6561"/>
    <w:rsid w:val="00F41E5A"/>
    <w:rsid w:val="00F66878"/>
    <w:rsid w:val="00FC2E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80"/>
    <w:rPr>
      <w:rFonts w:eastAsiaTheme="minorEastAsia"/>
      <w:lang w:eastAsia="lv-LV"/>
    </w:rPr>
  </w:style>
  <w:style w:type="paragraph" w:styleId="Heading1">
    <w:name w:val="heading 1"/>
    <w:basedOn w:val="Normal"/>
    <w:next w:val="Normal"/>
    <w:link w:val="Heading1Char"/>
    <w:uiPriority w:val="9"/>
    <w:qFormat/>
    <w:rsid w:val="008D3080"/>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08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D3080"/>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D3080"/>
    <w:rPr>
      <w:color w:val="0000FF" w:themeColor="hyperlink"/>
      <w:u w:val="single"/>
    </w:rPr>
  </w:style>
  <w:style w:type="paragraph" w:styleId="Footer">
    <w:name w:val="footer"/>
    <w:basedOn w:val="Normal"/>
    <w:link w:val="FooterChar"/>
    <w:uiPriority w:val="99"/>
    <w:unhideWhenUsed/>
    <w:rsid w:val="008D30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3080"/>
    <w:rPr>
      <w:rFonts w:eastAsiaTheme="minorEastAsia"/>
      <w:lang w:eastAsia="lv-LV"/>
    </w:rPr>
  </w:style>
  <w:style w:type="paragraph" w:styleId="ListParagraph">
    <w:name w:val="List Paragraph"/>
    <w:basedOn w:val="Normal"/>
    <w:link w:val="ListParagraphChar"/>
    <w:uiPriority w:val="34"/>
    <w:qFormat/>
    <w:rsid w:val="00966A2A"/>
    <w:pPr>
      <w:ind w:left="720"/>
      <w:contextualSpacing/>
    </w:pPr>
  </w:style>
  <w:style w:type="character" w:customStyle="1" w:styleId="ListParagraphChar">
    <w:name w:val="List Paragraph Char"/>
    <w:basedOn w:val="DefaultParagraphFont"/>
    <w:link w:val="ListParagraph"/>
    <w:uiPriority w:val="34"/>
    <w:locked/>
    <w:rsid w:val="00AB4DAE"/>
    <w:rPr>
      <w:rFonts w:eastAsiaTheme="minorEastAsia"/>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080"/>
    <w:rPr>
      <w:rFonts w:eastAsiaTheme="minorEastAsia"/>
      <w:lang w:eastAsia="lv-LV"/>
    </w:rPr>
  </w:style>
  <w:style w:type="paragraph" w:styleId="Heading1">
    <w:name w:val="heading 1"/>
    <w:basedOn w:val="Normal"/>
    <w:next w:val="Normal"/>
    <w:link w:val="Heading1Char"/>
    <w:uiPriority w:val="9"/>
    <w:qFormat/>
    <w:rsid w:val="008D3080"/>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08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D3080"/>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D3080"/>
    <w:rPr>
      <w:color w:val="0000FF" w:themeColor="hyperlink"/>
      <w:u w:val="single"/>
    </w:rPr>
  </w:style>
  <w:style w:type="paragraph" w:styleId="Footer">
    <w:name w:val="footer"/>
    <w:basedOn w:val="Normal"/>
    <w:link w:val="FooterChar"/>
    <w:uiPriority w:val="99"/>
    <w:unhideWhenUsed/>
    <w:rsid w:val="008D30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3080"/>
    <w:rPr>
      <w:rFonts w:eastAsiaTheme="minorEastAsia"/>
      <w:lang w:eastAsia="lv-LV"/>
    </w:rPr>
  </w:style>
  <w:style w:type="paragraph" w:styleId="ListParagraph">
    <w:name w:val="List Paragraph"/>
    <w:basedOn w:val="Normal"/>
    <w:link w:val="ListParagraphChar"/>
    <w:uiPriority w:val="34"/>
    <w:qFormat/>
    <w:rsid w:val="00966A2A"/>
    <w:pPr>
      <w:ind w:left="720"/>
      <w:contextualSpacing/>
    </w:pPr>
  </w:style>
  <w:style w:type="character" w:customStyle="1" w:styleId="ListParagraphChar">
    <w:name w:val="List Paragraph Char"/>
    <w:basedOn w:val="DefaultParagraphFont"/>
    <w:link w:val="ListParagraph"/>
    <w:uiPriority w:val="34"/>
    <w:locked/>
    <w:rsid w:val="00AB4DAE"/>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iba.medvecka@mk.gov.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2491</Words>
  <Characters>1420</Characters>
  <Application>Microsoft Office Word</Application>
  <DocSecurity>4</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BISS</Company>
  <LinksUpToDate>false</LinksUpToDate>
  <CharactersWithSpaces>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 Žabko</dc:creator>
  <cp:lastModifiedBy>Gunta Lejiete</cp:lastModifiedBy>
  <cp:revision>2</cp:revision>
  <cp:lastPrinted>2016-10-28T05:30:00Z</cp:lastPrinted>
  <dcterms:created xsi:type="dcterms:W3CDTF">2016-11-02T07:59:00Z</dcterms:created>
  <dcterms:modified xsi:type="dcterms:W3CDTF">2016-11-02T07:59:00Z</dcterms:modified>
</cp:coreProperties>
</file>