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F340" w14:textId="77777777" w:rsidR="00457805" w:rsidRPr="00457805" w:rsidRDefault="00457805" w:rsidP="00457805">
      <w:pPr>
        <w:jc w:val="right"/>
        <w:rPr>
          <w:lang w:eastAsia="lv-LV"/>
        </w:rPr>
      </w:pPr>
      <w:bookmarkStart w:id="0" w:name="piel3"/>
      <w:bookmarkEnd w:id="0"/>
      <w:r w:rsidRPr="00457805">
        <w:rPr>
          <w:lang w:eastAsia="lv-LV"/>
        </w:rPr>
        <w:t xml:space="preserve">3.pielikums </w:t>
      </w:r>
      <w:r w:rsidRPr="00457805">
        <w:rPr>
          <w:lang w:eastAsia="lv-LV"/>
        </w:rPr>
        <w:br/>
        <w:t xml:space="preserve">Ministru kabineta </w:t>
      </w:r>
      <w:r w:rsidRPr="00457805">
        <w:rPr>
          <w:lang w:eastAsia="lv-LV"/>
        </w:rPr>
        <w:br/>
        <w:t>2013.gada 3.janvāra noteikumiem Nr.1</w:t>
      </w:r>
      <w:bookmarkStart w:id="1" w:name="piel-457311"/>
      <w:bookmarkEnd w:id="1"/>
    </w:p>
    <w:p w14:paraId="2F399925" w14:textId="77777777" w:rsidR="00457805" w:rsidRDefault="00457805" w:rsidP="00457805">
      <w:pPr>
        <w:rPr>
          <w:b/>
          <w:bCs/>
          <w:lang w:eastAsia="lv-LV"/>
        </w:rPr>
      </w:pPr>
    </w:p>
    <w:p w14:paraId="4FB4F170" w14:textId="77777777" w:rsidR="00457805" w:rsidRDefault="00457805" w:rsidP="00760094">
      <w:pPr>
        <w:jc w:val="center"/>
        <w:rPr>
          <w:b/>
          <w:bCs/>
          <w:vanish/>
          <w:lang w:eastAsia="lv-LV"/>
        </w:rPr>
      </w:pPr>
    </w:p>
    <w:p w14:paraId="6B9F3D16" w14:textId="77777777" w:rsidR="00457805" w:rsidRDefault="00457805" w:rsidP="00760094">
      <w:pPr>
        <w:jc w:val="center"/>
        <w:rPr>
          <w:b/>
          <w:bCs/>
          <w:vanish/>
          <w:lang w:eastAsia="lv-LV"/>
        </w:rPr>
      </w:pPr>
    </w:p>
    <w:p w14:paraId="56F7684E" w14:textId="6F58AF66" w:rsidR="00457805" w:rsidRDefault="00457805" w:rsidP="00760094">
      <w:pPr>
        <w:jc w:val="center"/>
        <w:rPr>
          <w:color w:val="000000" w:themeColor="text1"/>
          <w:szCs w:val="24"/>
          <w:lang w:eastAsia="lv-LV"/>
        </w:rPr>
      </w:pPr>
      <w:r w:rsidRPr="00457805">
        <w:rPr>
          <w:b/>
          <w:bCs/>
          <w:lang w:eastAsia="lv-LV"/>
        </w:rPr>
        <w:t>Anotācija pētījumam</w:t>
      </w:r>
      <w:r w:rsidRPr="00457805">
        <w:rPr>
          <w:color w:val="000000" w:themeColor="text1"/>
          <w:szCs w:val="24"/>
          <w:lang w:eastAsia="lv-LV"/>
        </w:rPr>
        <w:t xml:space="preserve"> </w:t>
      </w:r>
      <w:r w:rsidRPr="000146D9">
        <w:rPr>
          <w:b/>
          <w:i/>
          <w:color w:val="000000" w:themeColor="text1"/>
          <w:szCs w:val="24"/>
          <w:lang w:eastAsia="lv-LV"/>
        </w:rPr>
        <w:t>“</w:t>
      </w:r>
      <w:r w:rsidR="008E7FB2">
        <w:rPr>
          <w:b/>
          <w:i/>
          <w:color w:val="000000" w:themeColor="text1"/>
          <w:szCs w:val="24"/>
          <w:lang w:eastAsia="lv-LV"/>
        </w:rPr>
        <w:t>Valsts pārvaldes klientu apmierinātības pētījums 20</w:t>
      </w:r>
      <w:r w:rsidR="00FA05C0">
        <w:rPr>
          <w:b/>
          <w:i/>
          <w:color w:val="000000" w:themeColor="text1"/>
          <w:szCs w:val="24"/>
          <w:lang w:eastAsia="lv-LV"/>
        </w:rPr>
        <w:t>2</w:t>
      </w:r>
      <w:r w:rsidR="00397A73">
        <w:rPr>
          <w:b/>
          <w:i/>
          <w:color w:val="000000" w:themeColor="text1"/>
          <w:szCs w:val="24"/>
          <w:lang w:eastAsia="lv-LV"/>
        </w:rPr>
        <w:t>2</w:t>
      </w:r>
      <w:r w:rsidRPr="000146D9">
        <w:rPr>
          <w:b/>
          <w:i/>
          <w:color w:val="000000" w:themeColor="text1"/>
          <w:szCs w:val="24"/>
          <w:lang w:eastAsia="lv-LV"/>
        </w:rPr>
        <w:t>”</w:t>
      </w:r>
    </w:p>
    <w:p w14:paraId="6C696727" w14:textId="77777777" w:rsidR="00457805" w:rsidRDefault="00457805" w:rsidP="00760094">
      <w:pPr>
        <w:jc w:val="center"/>
        <w:rPr>
          <w:color w:val="000000" w:themeColor="text1"/>
          <w:szCs w:val="24"/>
          <w:lang w:eastAsia="lv-LV"/>
        </w:rPr>
      </w:pPr>
    </w:p>
    <w:tbl>
      <w:tblPr>
        <w:tblStyle w:val="TableGrid"/>
        <w:tblW w:w="9357" w:type="dxa"/>
        <w:tblInd w:w="-431" w:type="dxa"/>
        <w:tblLook w:val="04A0" w:firstRow="1" w:lastRow="0" w:firstColumn="1" w:lastColumn="0" w:noHBand="0" w:noVBand="1"/>
      </w:tblPr>
      <w:tblGrid>
        <w:gridCol w:w="4679"/>
        <w:gridCol w:w="4678"/>
      </w:tblGrid>
      <w:tr w:rsidR="00DE4249" w14:paraId="30A698D6" w14:textId="77777777" w:rsidTr="00463765">
        <w:tc>
          <w:tcPr>
            <w:tcW w:w="4679" w:type="dxa"/>
          </w:tcPr>
          <w:p w14:paraId="22A735CF" w14:textId="77777777" w:rsidR="00DE4249" w:rsidRPr="0047349B" w:rsidRDefault="00DE4249" w:rsidP="00DE4249">
            <w:pPr>
              <w:rPr>
                <w:lang w:eastAsia="lv-LV"/>
              </w:rPr>
            </w:pPr>
            <w:r w:rsidRPr="0047349B">
              <w:rPr>
                <w:b/>
                <w:bCs/>
                <w:lang w:eastAsia="lv-LV"/>
              </w:rPr>
              <w:t>Pētījuma mērķis, uzdevumi un galvenie rezultāti latviešu valodā</w:t>
            </w:r>
            <w:r w:rsidRPr="0047349B">
              <w:rPr>
                <w:b/>
                <w:bCs/>
                <w:lang w:eastAsia="lv-LV"/>
              </w:rPr>
              <w:br/>
            </w:r>
            <w:r w:rsidRPr="0047349B">
              <w:rPr>
                <w:lang w:eastAsia="lv-LV"/>
              </w:rPr>
              <w:t xml:space="preserve">(brīvā tekstā, aptuveni 150 vārdu) </w:t>
            </w:r>
          </w:p>
          <w:p w14:paraId="03C81CBF" w14:textId="77777777" w:rsidR="00DE4249" w:rsidRPr="0047349B" w:rsidRDefault="00DE4249" w:rsidP="00DE4249">
            <w:pPr>
              <w:jc w:val="both"/>
              <w:rPr>
                <w:rFonts w:ascii="EUAlbertina" w:hAnsi="EUAlbertina"/>
                <w:color w:val="000000"/>
              </w:rPr>
            </w:pPr>
          </w:p>
          <w:p w14:paraId="2F0376FF" w14:textId="77777777" w:rsidR="00DE4249" w:rsidRPr="007B61FD" w:rsidRDefault="00DE4249" w:rsidP="00DE4249">
            <w:pPr>
              <w:jc w:val="both"/>
              <w:rPr>
                <w:szCs w:val="24"/>
              </w:rPr>
            </w:pPr>
            <w:r w:rsidRPr="007B61FD">
              <w:rPr>
                <w:szCs w:val="24"/>
              </w:rPr>
              <w:t xml:space="preserve">Šis ir ikgadējs sabiedriskās domas pētījums, ko pirmoreiz īstenoja 2015. gadā. Šī pētījuma laikā tiek noskaidrots Latvijas iedzīvotāju apmierinātības līmenis, vērtējot valsts pārvaldes iestāžu darbu, attieksmi pret klientiem un sniegto pakalpojumu kvalitāti. </w:t>
            </w:r>
          </w:p>
          <w:p w14:paraId="32F8E38A" w14:textId="77777777" w:rsidR="00DE4249" w:rsidRPr="007B61FD" w:rsidRDefault="00DE4249" w:rsidP="00DE4249">
            <w:pPr>
              <w:jc w:val="both"/>
              <w:rPr>
                <w:szCs w:val="24"/>
              </w:rPr>
            </w:pPr>
          </w:p>
          <w:p w14:paraId="113DE2E0" w14:textId="77777777" w:rsidR="00DE4249" w:rsidRPr="0047349B" w:rsidRDefault="00DE4249" w:rsidP="00DE4249">
            <w:pPr>
              <w:jc w:val="both"/>
              <w:rPr>
                <w:szCs w:val="24"/>
              </w:rPr>
            </w:pPr>
            <w:r w:rsidRPr="007B61FD">
              <w:rPr>
                <w:szCs w:val="24"/>
              </w:rPr>
              <w:t>Iegūtie rezultāti palīdz izvērtēt, kurās jomās un kādos aspektos nepieciešami uzlabojumi. Tāpat šie rezultāti sniedz ieskatu, kā mainījušies iedzīvotāju paradumi, izvēloties formātu saziņai ar valsts pārvaldi.</w:t>
            </w:r>
            <w:r w:rsidRPr="0047349B">
              <w:rPr>
                <w:szCs w:val="24"/>
              </w:rPr>
              <w:t xml:space="preserve"> </w:t>
            </w:r>
          </w:p>
          <w:p w14:paraId="0E3578A1" w14:textId="77777777" w:rsidR="00DE4249" w:rsidRPr="0047349B" w:rsidRDefault="00DE4249" w:rsidP="00DE4249">
            <w:pPr>
              <w:jc w:val="both"/>
              <w:rPr>
                <w:szCs w:val="24"/>
              </w:rPr>
            </w:pPr>
          </w:p>
          <w:p w14:paraId="065EC1EA" w14:textId="202DF4B8" w:rsidR="008D5780" w:rsidRDefault="00C5588B" w:rsidP="008D5780">
            <w:pPr>
              <w:jc w:val="both"/>
              <w:rPr>
                <w:szCs w:val="24"/>
              </w:rPr>
            </w:pPr>
            <w:bookmarkStart w:id="2" w:name="_Hlk123570572"/>
            <w:r>
              <w:rPr>
                <w:szCs w:val="24"/>
              </w:rPr>
              <w:t>2022. gadā g</w:t>
            </w:r>
            <w:r w:rsidR="008D5780" w:rsidRPr="008D5780">
              <w:rPr>
                <w:szCs w:val="24"/>
              </w:rPr>
              <w:t xml:space="preserve">andrīz puse (48%) Latvijas iedzīvotāju kopumā piekrita, ka „Vairumam valsts pārvaldē strādājošo var uzticēt darbošanos valsts labā”, bet 12% tam nepiekrita. Tikpat bieži atbalstīts ir arī apgalvojums „Latvijas valsts pārvaldē strādājošie kopumā godprātīgi veic savus pienākumus” (48%). </w:t>
            </w:r>
          </w:p>
          <w:p w14:paraId="2DB6C065" w14:textId="77777777" w:rsidR="00C5588B" w:rsidRPr="008D5780" w:rsidRDefault="00C5588B" w:rsidP="008D5780">
            <w:pPr>
              <w:jc w:val="both"/>
              <w:rPr>
                <w:szCs w:val="24"/>
              </w:rPr>
            </w:pPr>
          </w:p>
          <w:p w14:paraId="7C41EA3F" w14:textId="56FFA441" w:rsidR="008D5780" w:rsidRDefault="008D5780" w:rsidP="008D5780">
            <w:pPr>
              <w:jc w:val="both"/>
              <w:rPr>
                <w:szCs w:val="24"/>
              </w:rPr>
            </w:pPr>
            <w:r w:rsidRPr="008D5780">
              <w:rPr>
                <w:szCs w:val="24"/>
              </w:rPr>
              <w:t xml:space="preserve">Novērtējot izmaiņas valsts pārvaldē pēdējo 3 gadu laikā, 39% uzskata, ka valsts pārvalde ir vienkāršojusi pakalpojumu sniegšanas, saņemšanas procedūras iedzīvotājiem. Gandrīz tikpat bieži aptaujātie (38%) piekrita, ka valsts pārvaldes iestādes sākušas vairāk sadarboties savā starpā, mazāk prasot cilvēkiem tādus datus, kas jau ir citu valsts iestāžu rīcībā. </w:t>
            </w:r>
          </w:p>
          <w:p w14:paraId="284D28FB" w14:textId="77777777" w:rsidR="00C5588B" w:rsidRPr="008D5780" w:rsidRDefault="00C5588B" w:rsidP="008D5780">
            <w:pPr>
              <w:jc w:val="both"/>
              <w:rPr>
                <w:szCs w:val="24"/>
              </w:rPr>
            </w:pPr>
          </w:p>
          <w:p w14:paraId="238C2B9D" w14:textId="163292D0" w:rsidR="00DE4249" w:rsidRPr="0047349B" w:rsidRDefault="008D5780" w:rsidP="008D5780">
            <w:pPr>
              <w:jc w:val="both"/>
              <w:rPr>
                <w:szCs w:val="24"/>
              </w:rPr>
            </w:pPr>
            <w:r w:rsidRPr="008D5780">
              <w:rPr>
                <w:szCs w:val="24"/>
              </w:rPr>
              <w:t>Atbildot uz jautājumu, kuras iestādes vislabāk strādā, apkalpojot iedzīvotājus, respondenti visbiežāk nosauca Valsts sociālās apdrošināšanas aģentūru (8%), Valsts ieņēmumu dienestu (7%), dažādu pašvaldību (pilsētu, novadu) domes (5%), Valsts policiju (5%), Neatliekamās medicīniskās palīdzības dienestu (5%), Pilsonības un migrācijas lietu pārvaldi (4%). Citas</w:t>
            </w:r>
            <w:r w:rsidR="00C5588B">
              <w:rPr>
                <w:szCs w:val="24"/>
              </w:rPr>
              <w:t xml:space="preserve"> </w:t>
            </w:r>
            <w:r w:rsidRPr="008D5780">
              <w:rPr>
                <w:szCs w:val="24"/>
              </w:rPr>
              <w:t>iestādes nosauktas retāk.</w:t>
            </w:r>
            <w:bookmarkEnd w:id="2"/>
          </w:p>
        </w:tc>
        <w:tc>
          <w:tcPr>
            <w:tcW w:w="4678" w:type="dxa"/>
          </w:tcPr>
          <w:p w14:paraId="4CA8090E" w14:textId="7C7E18C8" w:rsidR="00DE4249" w:rsidRPr="00C97F35" w:rsidRDefault="00DE4249" w:rsidP="00DE4249">
            <w:pPr>
              <w:jc w:val="center"/>
              <w:rPr>
                <w:b/>
                <w:bCs/>
                <w:lang w:val="en-GB" w:eastAsia="lv-LV"/>
              </w:rPr>
            </w:pPr>
            <w:r w:rsidRPr="00C97F35">
              <w:rPr>
                <w:b/>
                <w:bCs/>
                <w:lang w:val="en-GB" w:eastAsia="lv-LV"/>
              </w:rPr>
              <w:t xml:space="preserve">Purpose, tasks and main results of the study in </w:t>
            </w:r>
            <w:r>
              <w:rPr>
                <w:b/>
                <w:bCs/>
                <w:lang w:val="en-GB" w:eastAsia="lv-LV"/>
              </w:rPr>
              <w:t>English</w:t>
            </w:r>
          </w:p>
          <w:p w14:paraId="657029B0" w14:textId="77777777" w:rsidR="00DE4249" w:rsidRPr="00C97F35" w:rsidRDefault="00DE4249" w:rsidP="00DE4249">
            <w:pPr>
              <w:jc w:val="center"/>
              <w:rPr>
                <w:bCs/>
                <w:lang w:val="en-GB" w:eastAsia="lv-LV"/>
              </w:rPr>
            </w:pPr>
            <w:r w:rsidRPr="00C97F35">
              <w:rPr>
                <w:bCs/>
                <w:lang w:val="en-GB" w:eastAsia="lv-LV"/>
              </w:rPr>
              <w:t>(free text, about 150 words)</w:t>
            </w:r>
          </w:p>
          <w:p w14:paraId="1AFC2958" w14:textId="77777777" w:rsidR="00DE4249" w:rsidRPr="00C97F35" w:rsidRDefault="00DE4249" w:rsidP="00DE4249">
            <w:pPr>
              <w:jc w:val="both"/>
              <w:rPr>
                <w:szCs w:val="24"/>
                <w:lang w:val="en-GB"/>
              </w:rPr>
            </w:pPr>
          </w:p>
          <w:p w14:paraId="56CAD7BB" w14:textId="77777777" w:rsidR="00DE4249" w:rsidRPr="00C97F35" w:rsidRDefault="00DE4249" w:rsidP="00DE4249">
            <w:pPr>
              <w:jc w:val="both"/>
              <w:rPr>
                <w:szCs w:val="24"/>
                <w:lang w:val="en-GB"/>
              </w:rPr>
            </w:pPr>
            <w:r w:rsidRPr="00C97F35">
              <w:rPr>
                <w:szCs w:val="24"/>
                <w:lang w:val="en-GB"/>
              </w:rPr>
              <w:t xml:space="preserve">This is an annual public opinion study, which was first carried out in 2015. This study clarified the Latvian residents’ level of satisfaction with work of public administration institutions, attitude towards customers and </w:t>
            </w:r>
            <w:r>
              <w:rPr>
                <w:szCs w:val="24"/>
                <w:lang w:val="en-GB"/>
              </w:rPr>
              <w:t xml:space="preserve">service </w:t>
            </w:r>
            <w:r w:rsidRPr="00C97F35">
              <w:rPr>
                <w:szCs w:val="24"/>
                <w:lang w:val="en-GB"/>
              </w:rPr>
              <w:t xml:space="preserve">quality. </w:t>
            </w:r>
          </w:p>
          <w:p w14:paraId="3EC2F4B4" w14:textId="77777777" w:rsidR="00DE4249" w:rsidRPr="00C97F35" w:rsidRDefault="00DE4249" w:rsidP="00DE4249">
            <w:pPr>
              <w:jc w:val="both"/>
              <w:rPr>
                <w:szCs w:val="24"/>
                <w:lang w:val="en-GB"/>
              </w:rPr>
            </w:pPr>
          </w:p>
          <w:p w14:paraId="58327A13" w14:textId="77777777" w:rsidR="00DE4249" w:rsidRPr="00C97F35" w:rsidRDefault="00DE4249" w:rsidP="00DE4249">
            <w:pPr>
              <w:jc w:val="both"/>
              <w:rPr>
                <w:szCs w:val="24"/>
                <w:lang w:val="en-GB"/>
              </w:rPr>
            </w:pPr>
            <w:r w:rsidRPr="00C97F35">
              <w:rPr>
                <w:szCs w:val="24"/>
                <w:lang w:val="en-GB"/>
              </w:rPr>
              <w:t>The results help assess which areas and aspects need improvement. These results also provide an insight into how citizens' habits have changed by choosing a form of communication with the public administration.</w:t>
            </w:r>
          </w:p>
          <w:p w14:paraId="23821F31" w14:textId="77777777" w:rsidR="00DE4249" w:rsidRPr="00C97F35" w:rsidRDefault="00DE4249" w:rsidP="00DE4249">
            <w:pPr>
              <w:jc w:val="both"/>
              <w:rPr>
                <w:szCs w:val="24"/>
                <w:lang w:val="en-GB"/>
              </w:rPr>
            </w:pPr>
          </w:p>
          <w:p w14:paraId="0A864326" w14:textId="77777777" w:rsidR="00455F6E" w:rsidRDefault="00455F6E" w:rsidP="00455F6E">
            <w:pPr>
              <w:jc w:val="both"/>
              <w:rPr>
                <w:rFonts w:cs="Calibri"/>
                <w:lang w:val="en-GB"/>
              </w:rPr>
            </w:pPr>
            <w:r>
              <w:rPr>
                <w:rFonts w:cs="Calibri"/>
                <w:lang w:val="en-GB"/>
              </w:rPr>
              <w:t xml:space="preserve">In 2022, nearly half (48%) of the population of Latvia generally agreed that “The majority of those working in state administration can be trusted to work in the interests of the state”, while 12% did not agree with this statement. The same amount of respondents (48%) agreed with the statement “Those working in the state administration of Latvia, </w:t>
            </w:r>
            <w:proofErr w:type="gramStart"/>
            <w:r>
              <w:rPr>
                <w:rFonts w:cs="Calibri"/>
                <w:lang w:val="en-GB"/>
              </w:rPr>
              <w:t>in  general</w:t>
            </w:r>
            <w:proofErr w:type="gramEnd"/>
            <w:r>
              <w:rPr>
                <w:rFonts w:cs="Calibri"/>
                <w:lang w:val="en-GB"/>
              </w:rPr>
              <w:t>, perform their duties in good faith”.</w:t>
            </w:r>
          </w:p>
          <w:p w14:paraId="5BCABF34" w14:textId="77777777" w:rsidR="00455F6E" w:rsidRPr="00AD64D0" w:rsidRDefault="00455F6E" w:rsidP="00455F6E">
            <w:pPr>
              <w:jc w:val="both"/>
              <w:rPr>
                <w:lang w:val="en-GB"/>
              </w:rPr>
            </w:pPr>
          </w:p>
          <w:p w14:paraId="0C1602CA" w14:textId="77777777" w:rsidR="00455F6E" w:rsidRDefault="00455F6E" w:rsidP="00455F6E">
            <w:pPr>
              <w:jc w:val="both"/>
              <w:rPr>
                <w:lang w:val="en-GB"/>
              </w:rPr>
            </w:pPr>
            <w:r>
              <w:rPr>
                <w:lang w:val="en-GB"/>
              </w:rPr>
              <w:t xml:space="preserve">When assessing changes in state administration over the past 3 years, 39% said that state administration had simplified the procedures for providing and obtaining public services. Almost the same </w:t>
            </w:r>
            <w:proofErr w:type="gramStart"/>
            <w:r>
              <w:rPr>
                <w:lang w:val="en-GB"/>
              </w:rPr>
              <w:t>amount</w:t>
            </w:r>
            <w:proofErr w:type="gramEnd"/>
            <w:r>
              <w:rPr>
                <w:lang w:val="en-GB"/>
              </w:rPr>
              <w:t xml:space="preserve"> of respondents (38%) agreed that state administration institutions have started to collaborate more actively among themselves, thus less frequently requesting people to submit data which is already at the disposal of other state institutions.</w:t>
            </w:r>
          </w:p>
          <w:p w14:paraId="4375AB24" w14:textId="77777777" w:rsidR="00455F6E" w:rsidRPr="00AD64D0" w:rsidRDefault="00455F6E" w:rsidP="00455F6E">
            <w:pPr>
              <w:jc w:val="both"/>
              <w:rPr>
                <w:lang w:val="en-GB"/>
              </w:rPr>
            </w:pPr>
          </w:p>
          <w:p w14:paraId="143360EB" w14:textId="77777777" w:rsidR="00455F6E" w:rsidRPr="00AD64D0" w:rsidRDefault="00455F6E" w:rsidP="00455F6E">
            <w:pPr>
              <w:jc w:val="both"/>
              <w:rPr>
                <w:lang w:val="en-GB"/>
              </w:rPr>
            </w:pPr>
            <w:r>
              <w:rPr>
                <w:lang w:val="en-GB"/>
              </w:rPr>
              <w:t xml:space="preserve">In response to the question of which institutions provide the best quality of service, respondents most often mentioned the State Social Insurance Agency (8%), the State Revenue Service (7%), various municipal </w:t>
            </w:r>
            <w:r>
              <w:rPr>
                <w:lang w:val="en-GB"/>
              </w:rPr>
              <w:lastRenderedPageBreak/>
              <w:t>(city, district) councils (5%), the State Police (5%), the State Emergency Medical Service (5%), the Office of Citizenship and Migration Affairs (4%). Other institutions were mentioned less frequently.</w:t>
            </w:r>
          </w:p>
          <w:p w14:paraId="4F3EA0AB" w14:textId="77777777" w:rsidR="00DE4249" w:rsidRPr="00C87F55" w:rsidRDefault="00DE4249" w:rsidP="00DE4249">
            <w:pPr>
              <w:pStyle w:val="mt-translation"/>
              <w:spacing w:before="0" w:beforeAutospacing="0" w:after="0" w:afterAutospacing="0"/>
              <w:jc w:val="both"/>
              <w:rPr>
                <w:rFonts w:ascii="Roboto" w:hAnsi="Roboto" w:cs="Arial"/>
              </w:rPr>
            </w:pPr>
          </w:p>
        </w:tc>
      </w:tr>
      <w:tr w:rsidR="00DE4249" w14:paraId="30B6C4FD" w14:textId="77777777" w:rsidTr="00463765">
        <w:tc>
          <w:tcPr>
            <w:tcW w:w="4679" w:type="dxa"/>
          </w:tcPr>
          <w:p w14:paraId="024225FC" w14:textId="77777777" w:rsidR="00DE4249" w:rsidRPr="0047349B" w:rsidRDefault="00DE4249" w:rsidP="00DE4249">
            <w:pPr>
              <w:rPr>
                <w:b/>
                <w:bCs/>
                <w:lang w:eastAsia="lv-LV"/>
              </w:rPr>
            </w:pPr>
            <w:r w:rsidRPr="0047349B">
              <w:rPr>
                <w:b/>
                <w:bCs/>
                <w:lang w:eastAsia="lv-LV"/>
              </w:rPr>
              <w:lastRenderedPageBreak/>
              <w:t>Galvenās pētījumā aplūkotās tēmas</w:t>
            </w:r>
          </w:p>
        </w:tc>
        <w:tc>
          <w:tcPr>
            <w:tcW w:w="4678" w:type="dxa"/>
          </w:tcPr>
          <w:p w14:paraId="3EB7D8AA" w14:textId="77777777" w:rsidR="00DE4249" w:rsidRPr="000146D9" w:rsidRDefault="00DE4249" w:rsidP="00DE4249">
            <w:pPr>
              <w:pStyle w:val="ListParagraph"/>
              <w:numPr>
                <w:ilvl w:val="0"/>
                <w:numId w:val="2"/>
              </w:numPr>
              <w:ind w:left="277" w:hanging="301"/>
              <w:rPr>
                <w:szCs w:val="24"/>
              </w:rPr>
            </w:pPr>
            <w:r>
              <w:rPr>
                <w:szCs w:val="24"/>
              </w:rPr>
              <w:t>Attieksme pret valsts pārvaldi kopumā;</w:t>
            </w:r>
          </w:p>
          <w:p w14:paraId="2DFFBA5E" w14:textId="77777777" w:rsidR="00DE4249" w:rsidRDefault="00DE4249" w:rsidP="00DE4249">
            <w:pPr>
              <w:pStyle w:val="ListParagraph"/>
              <w:numPr>
                <w:ilvl w:val="0"/>
                <w:numId w:val="2"/>
              </w:numPr>
              <w:ind w:left="277" w:hanging="301"/>
              <w:rPr>
                <w:szCs w:val="24"/>
              </w:rPr>
            </w:pPr>
            <w:r>
              <w:rPr>
                <w:szCs w:val="24"/>
              </w:rPr>
              <w:t>Uzskati par valsts iestādi, kas vislabāk apkalpo iedzīvotājus;</w:t>
            </w:r>
          </w:p>
          <w:p w14:paraId="469D7300" w14:textId="77777777" w:rsidR="00DE4249" w:rsidRDefault="00DE4249" w:rsidP="00DE4249">
            <w:pPr>
              <w:pStyle w:val="ListParagraph"/>
              <w:numPr>
                <w:ilvl w:val="0"/>
                <w:numId w:val="2"/>
              </w:numPr>
              <w:ind w:left="277" w:hanging="301"/>
              <w:rPr>
                <w:szCs w:val="24"/>
              </w:rPr>
            </w:pPr>
            <w:r>
              <w:rPr>
                <w:szCs w:val="24"/>
              </w:rPr>
              <w:t>Saskarsme ar valsts iestādēm pēdējo 3 gadu laikā;</w:t>
            </w:r>
          </w:p>
          <w:p w14:paraId="2151B273" w14:textId="77777777" w:rsidR="00DE4249" w:rsidRDefault="00DE4249" w:rsidP="00DE4249">
            <w:pPr>
              <w:pStyle w:val="ListParagraph"/>
              <w:numPr>
                <w:ilvl w:val="0"/>
                <w:numId w:val="2"/>
              </w:numPr>
              <w:ind w:left="277" w:hanging="301"/>
              <w:rPr>
                <w:szCs w:val="24"/>
              </w:rPr>
            </w:pPr>
            <w:r>
              <w:rPr>
                <w:szCs w:val="24"/>
              </w:rPr>
              <w:t>Valsts iestāžu darba vērtējums kopumā;</w:t>
            </w:r>
          </w:p>
          <w:p w14:paraId="5637AB62" w14:textId="77777777" w:rsidR="00DE4249" w:rsidRPr="000146D9" w:rsidRDefault="00DE4249" w:rsidP="00DE4249">
            <w:pPr>
              <w:pStyle w:val="ListParagraph"/>
              <w:numPr>
                <w:ilvl w:val="0"/>
                <w:numId w:val="2"/>
              </w:numPr>
              <w:ind w:left="277" w:hanging="301"/>
              <w:rPr>
                <w:szCs w:val="24"/>
              </w:rPr>
            </w:pPr>
            <w:r>
              <w:rPr>
                <w:szCs w:val="24"/>
              </w:rPr>
              <w:t>Pēdējās saskarsmes ar valsts iestādi raksturojums.</w:t>
            </w:r>
          </w:p>
        </w:tc>
      </w:tr>
      <w:tr w:rsidR="00DE4249" w14:paraId="070D2B37" w14:textId="77777777" w:rsidTr="00463765">
        <w:tc>
          <w:tcPr>
            <w:tcW w:w="4679" w:type="dxa"/>
          </w:tcPr>
          <w:p w14:paraId="6EAFF772" w14:textId="77777777" w:rsidR="00DE4249" w:rsidRPr="0047349B" w:rsidRDefault="00DE4249" w:rsidP="00DE4249">
            <w:pPr>
              <w:rPr>
                <w:b/>
                <w:bCs/>
                <w:lang w:eastAsia="lv-LV"/>
              </w:rPr>
            </w:pPr>
            <w:r w:rsidRPr="0047349B">
              <w:rPr>
                <w:b/>
                <w:bCs/>
                <w:lang w:eastAsia="lv-LV"/>
              </w:rPr>
              <w:t>Pētījuma pasūtītājs</w:t>
            </w:r>
          </w:p>
        </w:tc>
        <w:tc>
          <w:tcPr>
            <w:tcW w:w="4678" w:type="dxa"/>
          </w:tcPr>
          <w:p w14:paraId="6FB4D2F0" w14:textId="77777777" w:rsidR="00DE4249" w:rsidRDefault="00DE4249" w:rsidP="00DE4249">
            <w:pPr>
              <w:rPr>
                <w:color w:val="000000" w:themeColor="text1"/>
                <w:szCs w:val="24"/>
                <w:lang w:eastAsia="lv-LV"/>
              </w:rPr>
            </w:pPr>
            <w:r>
              <w:rPr>
                <w:color w:val="000000" w:themeColor="text1"/>
                <w:szCs w:val="24"/>
                <w:lang w:eastAsia="lv-LV"/>
              </w:rPr>
              <w:t xml:space="preserve">Valsts kanceleja </w:t>
            </w:r>
          </w:p>
        </w:tc>
      </w:tr>
      <w:tr w:rsidR="00DE4249" w14:paraId="07FB506E" w14:textId="77777777" w:rsidTr="00463765">
        <w:tc>
          <w:tcPr>
            <w:tcW w:w="4679" w:type="dxa"/>
          </w:tcPr>
          <w:p w14:paraId="1F3F915C" w14:textId="77777777" w:rsidR="00DE4249" w:rsidRPr="0047349B" w:rsidRDefault="00DE4249" w:rsidP="00DE4249">
            <w:pPr>
              <w:rPr>
                <w:b/>
                <w:bCs/>
                <w:lang w:eastAsia="lv-LV"/>
              </w:rPr>
            </w:pPr>
            <w:r w:rsidRPr="0047349B">
              <w:rPr>
                <w:b/>
                <w:bCs/>
                <w:lang w:eastAsia="lv-LV"/>
              </w:rPr>
              <w:t>Pētījuma īstenotājs</w:t>
            </w:r>
          </w:p>
        </w:tc>
        <w:tc>
          <w:tcPr>
            <w:tcW w:w="4678" w:type="dxa"/>
          </w:tcPr>
          <w:p w14:paraId="64B8289F" w14:textId="77777777" w:rsidR="00DE4249" w:rsidRDefault="00DE4249" w:rsidP="00DE4249">
            <w:pPr>
              <w:rPr>
                <w:color w:val="000000" w:themeColor="text1"/>
                <w:szCs w:val="24"/>
                <w:lang w:eastAsia="lv-LV"/>
              </w:rPr>
            </w:pPr>
            <w:r>
              <w:rPr>
                <w:rFonts w:eastAsia="Times New Roman" w:cs="Times New Roman"/>
                <w:color w:val="000000"/>
                <w:szCs w:val="24"/>
                <w:lang w:eastAsia="lv-LV"/>
              </w:rPr>
              <w:t>SIA “Pētījumu centrs SKDS”</w:t>
            </w:r>
          </w:p>
        </w:tc>
      </w:tr>
      <w:tr w:rsidR="00DE4249" w14:paraId="429BC033" w14:textId="77777777" w:rsidTr="00463765">
        <w:tc>
          <w:tcPr>
            <w:tcW w:w="4679" w:type="dxa"/>
          </w:tcPr>
          <w:p w14:paraId="4F493851" w14:textId="77777777" w:rsidR="00DE4249" w:rsidRPr="0047349B" w:rsidRDefault="00DE4249" w:rsidP="00DE4249">
            <w:pPr>
              <w:rPr>
                <w:b/>
                <w:bCs/>
                <w:lang w:eastAsia="lv-LV"/>
              </w:rPr>
            </w:pPr>
            <w:r w:rsidRPr="0047349B">
              <w:rPr>
                <w:b/>
                <w:bCs/>
                <w:lang w:eastAsia="lv-LV"/>
              </w:rPr>
              <w:t>Pētījuma īstenošanas gads</w:t>
            </w:r>
          </w:p>
        </w:tc>
        <w:tc>
          <w:tcPr>
            <w:tcW w:w="4678" w:type="dxa"/>
          </w:tcPr>
          <w:p w14:paraId="470269A5" w14:textId="0CEF3A3B" w:rsidR="00DE4249" w:rsidRPr="00FF4C9F" w:rsidRDefault="00DE4249" w:rsidP="00DE4249">
            <w:pPr>
              <w:rPr>
                <w:color w:val="000000" w:themeColor="text1"/>
                <w:szCs w:val="24"/>
                <w:lang w:eastAsia="lv-LV"/>
              </w:rPr>
            </w:pPr>
            <w:r w:rsidRPr="00FF4C9F">
              <w:rPr>
                <w:color w:val="000000" w:themeColor="text1"/>
                <w:szCs w:val="24"/>
                <w:lang w:eastAsia="lv-LV"/>
              </w:rPr>
              <w:t>20</w:t>
            </w:r>
            <w:r>
              <w:rPr>
                <w:color w:val="000000" w:themeColor="text1"/>
                <w:szCs w:val="24"/>
                <w:lang w:eastAsia="lv-LV"/>
              </w:rPr>
              <w:t>2</w:t>
            </w:r>
            <w:r w:rsidR="008D5780">
              <w:rPr>
                <w:color w:val="000000" w:themeColor="text1"/>
                <w:szCs w:val="24"/>
                <w:lang w:eastAsia="lv-LV"/>
              </w:rPr>
              <w:t>2</w:t>
            </w:r>
          </w:p>
        </w:tc>
      </w:tr>
      <w:tr w:rsidR="00DE4249" w14:paraId="42B4C5E6" w14:textId="77777777" w:rsidTr="00463765">
        <w:tc>
          <w:tcPr>
            <w:tcW w:w="4679" w:type="dxa"/>
          </w:tcPr>
          <w:p w14:paraId="6C293586" w14:textId="77777777" w:rsidR="00DE4249" w:rsidRPr="006073CC" w:rsidRDefault="00DE4249" w:rsidP="00DE4249">
            <w:pPr>
              <w:rPr>
                <w:b/>
                <w:bCs/>
                <w:lang w:eastAsia="lv-LV"/>
              </w:rPr>
            </w:pPr>
            <w:r w:rsidRPr="006073CC">
              <w:rPr>
                <w:b/>
                <w:bCs/>
                <w:lang w:eastAsia="lv-LV"/>
              </w:rPr>
              <w:t>Pētījuma finansēšanas summa un finansēšanas avots</w:t>
            </w:r>
          </w:p>
        </w:tc>
        <w:tc>
          <w:tcPr>
            <w:tcW w:w="4678" w:type="dxa"/>
          </w:tcPr>
          <w:p w14:paraId="03F73D16" w14:textId="11779706" w:rsidR="00DE4249" w:rsidRPr="000E17D1" w:rsidRDefault="008D5780" w:rsidP="00DE4249">
            <w:pPr>
              <w:rPr>
                <w:rFonts w:eastAsia="Calibri" w:cs="Times New Roman"/>
                <w:szCs w:val="24"/>
              </w:rPr>
            </w:pPr>
            <w:r>
              <w:t xml:space="preserve">7366,40 </w:t>
            </w:r>
            <w:r w:rsidR="00DE4249" w:rsidRPr="000E17D1">
              <w:rPr>
                <w:rFonts w:eastAsia="Calibri" w:cs="Times New Roman"/>
                <w:szCs w:val="24"/>
              </w:rPr>
              <w:t xml:space="preserve">EUR bez PVN </w:t>
            </w:r>
          </w:p>
          <w:p w14:paraId="3EEF1B95" w14:textId="77777777" w:rsidR="00DE4249" w:rsidRPr="000E17D1" w:rsidRDefault="00DE4249" w:rsidP="00DE4249">
            <w:pPr>
              <w:rPr>
                <w:rFonts w:eastAsia="Calibri" w:cs="Times New Roman"/>
                <w:szCs w:val="24"/>
              </w:rPr>
            </w:pPr>
            <w:r w:rsidRPr="000E17D1">
              <w:rPr>
                <w:rFonts w:eastAsia="Calibri" w:cs="Times New Roman"/>
                <w:szCs w:val="24"/>
              </w:rPr>
              <w:t>Valsts kancelejas budžeta līdzekļi</w:t>
            </w:r>
          </w:p>
          <w:p w14:paraId="7601EB82" w14:textId="77777777" w:rsidR="00DE4249" w:rsidRPr="000E17D1" w:rsidRDefault="00DE4249" w:rsidP="00DE4249">
            <w:pPr>
              <w:widowControl w:val="0"/>
              <w:autoSpaceDE w:val="0"/>
              <w:autoSpaceDN w:val="0"/>
              <w:adjustRightInd w:val="0"/>
              <w:rPr>
                <w:rFonts w:eastAsia="Times New Roman" w:cs="Times New Roman"/>
                <w:szCs w:val="24"/>
                <w:lang w:eastAsia="lv-LV"/>
              </w:rPr>
            </w:pPr>
          </w:p>
        </w:tc>
      </w:tr>
      <w:tr w:rsidR="00DE4249" w14:paraId="059E0216" w14:textId="77777777" w:rsidTr="00463765">
        <w:tc>
          <w:tcPr>
            <w:tcW w:w="4679" w:type="dxa"/>
          </w:tcPr>
          <w:p w14:paraId="2C18E325" w14:textId="77777777" w:rsidR="00DE4249" w:rsidRPr="0047349B" w:rsidRDefault="00DE4249" w:rsidP="00DE4249">
            <w:pPr>
              <w:rPr>
                <w:b/>
                <w:bCs/>
                <w:lang w:eastAsia="lv-LV"/>
              </w:rPr>
            </w:pPr>
            <w:r w:rsidRPr="0047349B">
              <w:rPr>
                <w:b/>
                <w:bCs/>
                <w:lang w:eastAsia="lv-LV"/>
              </w:rPr>
              <w:t>Pētījuma klasifikācija*</w:t>
            </w:r>
          </w:p>
        </w:tc>
        <w:tc>
          <w:tcPr>
            <w:tcW w:w="4678" w:type="dxa"/>
          </w:tcPr>
          <w:p w14:paraId="51CECD12" w14:textId="77777777" w:rsidR="00DE4249" w:rsidRDefault="00DE4249" w:rsidP="00DE4249">
            <w:pPr>
              <w:rPr>
                <w:color w:val="000000" w:themeColor="text1"/>
                <w:szCs w:val="24"/>
                <w:lang w:eastAsia="lv-LV"/>
              </w:rPr>
            </w:pPr>
            <w:r>
              <w:rPr>
                <w:rFonts w:eastAsia="Calibri" w:cs="Times New Roman"/>
                <w:szCs w:val="24"/>
              </w:rPr>
              <w:t>Sabiedriskās domas</w:t>
            </w:r>
            <w:r w:rsidRPr="000146D9">
              <w:rPr>
                <w:rFonts w:eastAsia="Calibri" w:cs="Times New Roman"/>
                <w:szCs w:val="24"/>
              </w:rPr>
              <w:t xml:space="preserve"> pētījums</w:t>
            </w:r>
            <w:r>
              <w:rPr>
                <w:rFonts w:ascii="Arial" w:hAnsi="Arial" w:cs="Arial"/>
              </w:rPr>
              <w:t xml:space="preserve"> </w:t>
            </w:r>
          </w:p>
        </w:tc>
      </w:tr>
      <w:tr w:rsidR="00DE4249" w14:paraId="1B7BB5A8" w14:textId="77777777" w:rsidTr="00463765">
        <w:tc>
          <w:tcPr>
            <w:tcW w:w="4679" w:type="dxa"/>
          </w:tcPr>
          <w:p w14:paraId="19C2B19A" w14:textId="77777777" w:rsidR="00DE4249" w:rsidRPr="0047349B" w:rsidRDefault="00DE4249" w:rsidP="00DE4249">
            <w:pPr>
              <w:rPr>
                <w:b/>
                <w:bCs/>
                <w:lang w:eastAsia="lv-LV"/>
              </w:rPr>
            </w:pPr>
            <w:r w:rsidRPr="0047349B">
              <w:rPr>
                <w:b/>
                <w:bCs/>
                <w:lang w:eastAsia="lv-LV"/>
              </w:rPr>
              <w:t>Politikas joma, nozare**</w:t>
            </w:r>
          </w:p>
        </w:tc>
        <w:tc>
          <w:tcPr>
            <w:tcW w:w="4678" w:type="dxa"/>
          </w:tcPr>
          <w:p w14:paraId="5D242FD8" w14:textId="77777777" w:rsidR="00DE4249" w:rsidRDefault="00DE4249" w:rsidP="00DE4249">
            <w:pPr>
              <w:rPr>
                <w:rFonts w:eastAsia="Calibri" w:cs="Times New Roman"/>
                <w:szCs w:val="24"/>
              </w:rPr>
            </w:pPr>
            <w:r>
              <w:rPr>
                <w:rFonts w:eastAsia="Calibri" w:cs="Times New Roman"/>
                <w:szCs w:val="24"/>
              </w:rPr>
              <w:t xml:space="preserve">Joma – Publiskās pārvaldes politika </w:t>
            </w:r>
          </w:p>
          <w:p w14:paraId="504C5593" w14:textId="77777777" w:rsidR="00DE4249" w:rsidRPr="00966DF8" w:rsidRDefault="00DE4249" w:rsidP="00DE4249">
            <w:pPr>
              <w:rPr>
                <w:rFonts w:eastAsia="Calibri" w:cs="Times New Roman"/>
                <w:szCs w:val="24"/>
              </w:rPr>
            </w:pPr>
            <w:r>
              <w:rPr>
                <w:rFonts w:eastAsia="Calibri" w:cs="Times New Roman"/>
                <w:szCs w:val="24"/>
              </w:rPr>
              <w:t>Nozare  -Valsts pārvaldes attīstība</w:t>
            </w:r>
          </w:p>
        </w:tc>
      </w:tr>
      <w:tr w:rsidR="00DE4249" w14:paraId="665DD4D2" w14:textId="77777777" w:rsidTr="00463765">
        <w:tc>
          <w:tcPr>
            <w:tcW w:w="4679" w:type="dxa"/>
          </w:tcPr>
          <w:p w14:paraId="73F4ABEB" w14:textId="77777777" w:rsidR="00DE4249" w:rsidRPr="0047349B" w:rsidRDefault="00DE4249" w:rsidP="00DE4249">
            <w:pPr>
              <w:rPr>
                <w:lang w:eastAsia="lv-LV"/>
              </w:rPr>
            </w:pPr>
            <w:r w:rsidRPr="0047349B">
              <w:rPr>
                <w:b/>
                <w:bCs/>
                <w:lang w:eastAsia="lv-LV"/>
              </w:rPr>
              <w:t>Pētījuma ģeogrāfiskais aptvērums</w:t>
            </w:r>
            <w:r w:rsidRPr="0047349B">
              <w:rPr>
                <w:b/>
                <w:bCs/>
                <w:lang w:eastAsia="lv-LV"/>
              </w:rPr>
              <w:br/>
            </w:r>
            <w:r w:rsidRPr="0047349B">
              <w:rPr>
                <w:lang w:eastAsia="lv-LV"/>
              </w:rPr>
              <w:t>(visa Latvija vai noteikts reģions/novads)</w:t>
            </w:r>
          </w:p>
        </w:tc>
        <w:tc>
          <w:tcPr>
            <w:tcW w:w="4678" w:type="dxa"/>
          </w:tcPr>
          <w:p w14:paraId="0C7457ED" w14:textId="77777777" w:rsidR="00DE4249" w:rsidRDefault="00DE4249" w:rsidP="00DE4249">
            <w:pPr>
              <w:rPr>
                <w:color w:val="000000" w:themeColor="text1"/>
                <w:szCs w:val="24"/>
                <w:lang w:eastAsia="lv-LV"/>
              </w:rPr>
            </w:pPr>
            <w:r>
              <w:rPr>
                <w:color w:val="000000" w:themeColor="text1"/>
                <w:szCs w:val="24"/>
                <w:lang w:eastAsia="lv-LV"/>
              </w:rPr>
              <w:t>Visi Latvijas reģioni</w:t>
            </w:r>
          </w:p>
        </w:tc>
      </w:tr>
      <w:tr w:rsidR="00DE4249" w14:paraId="789F968D" w14:textId="77777777" w:rsidTr="00463765">
        <w:tc>
          <w:tcPr>
            <w:tcW w:w="4679" w:type="dxa"/>
          </w:tcPr>
          <w:p w14:paraId="38BA5F32" w14:textId="77777777" w:rsidR="00DE4249" w:rsidRPr="0047349B" w:rsidRDefault="00DE4249" w:rsidP="00DE4249">
            <w:pPr>
              <w:rPr>
                <w:lang w:eastAsia="lv-LV"/>
              </w:rPr>
            </w:pPr>
            <w:r w:rsidRPr="0047349B">
              <w:rPr>
                <w:b/>
                <w:bCs/>
                <w:lang w:eastAsia="lv-LV"/>
              </w:rPr>
              <w:t>Pētījuma mērķa grupa/-as</w:t>
            </w:r>
            <w:r w:rsidRPr="0047349B">
              <w:rPr>
                <w:b/>
                <w:bCs/>
                <w:lang w:eastAsia="lv-LV"/>
              </w:rPr>
              <w:br/>
            </w:r>
            <w:r w:rsidRPr="0047349B">
              <w:rPr>
                <w:lang w:eastAsia="lv-LV"/>
              </w:rPr>
              <w:t>(piemēram, Latvijas iedzīvotāji darbspējas vecumā)</w:t>
            </w:r>
          </w:p>
        </w:tc>
        <w:tc>
          <w:tcPr>
            <w:tcW w:w="4678" w:type="dxa"/>
          </w:tcPr>
          <w:p w14:paraId="60E2D203" w14:textId="36631646" w:rsidR="00DE4249" w:rsidRDefault="00DE4249" w:rsidP="00DE4249">
            <w:pPr>
              <w:rPr>
                <w:color w:val="000000" w:themeColor="text1"/>
                <w:szCs w:val="24"/>
                <w:lang w:eastAsia="lv-LV"/>
              </w:rPr>
            </w:pPr>
            <w:r>
              <w:rPr>
                <w:color w:val="000000" w:themeColor="text1"/>
                <w:szCs w:val="24"/>
                <w:lang w:eastAsia="lv-LV"/>
              </w:rPr>
              <w:t>Latvijas pastāvīgie iedzīvotāji vecumā no 18 līdz 75 gadiem</w:t>
            </w:r>
          </w:p>
        </w:tc>
      </w:tr>
      <w:tr w:rsidR="00DE4249" w14:paraId="5CE46D1B" w14:textId="77777777" w:rsidTr="00463765">
        <w:tc>
          <w:tcPr>
            <w:tcW w:w="4679" w:type="dxa"/>
          </w:tcPr>
          <w:p w14:paraId="1D5F9AC8" w14:textId="77777777" w:rsidR="00DE4249" w:rsidRPr="0047349B" w:rsidRDefault="00DE4249" w:rsidP="00DE4249">
            <w:pPr>
              <w:rPr>
                <w:b/>
                <w:bCs/>
                <w:lang w:eastAsia="lv-LV"/>
              </w:rPr>
            </w:pPr>
            <w:r w:rsidRPr="0047349B">
              <w:rPr>
                <w:b/>
                <w:bCs/>
                <w:lang w:eastAsia="lv-LV"/>
              </w:rPr>
              <w:t>Pētījumā izmantotās metodes pēc informācijas ieguves veida:</w:t>
            </w:r>
          </w:p>
        </w:tc>
        <w:tc>
          <w:tcPr>
            <w:tcW w:w="4678" w:type="dxa"/>
          </w:tcPr>
          <w:p w14:paraId="77C1B25C" w14:textId="77777777" w:rsidR="00DE4249" w:rsidRDefault="00DE4249" w:rsidP="00DE4249">
            <w:pPr>
              <w:jc w:val="center"/>
              <w:rPr>
                <w:color w:val="000000" w:themeColor="text1"/>
                <w:szCs w:val="24"/>
                <w:lang w:eastAsia="lv-LV"/>
              </w:rPr>
            </w:pPr>
          </w:p>
        </w:tc>
      </w:tr>
      <w:tr w:rsidR="00DE4249" w14:paraId="4EE93C15" w14:textId="77777777" w:rsidTr="00463765">
        <w:tc>
          <w:tcPr>
            <w:tcW w:w="4679" w:type="dxa"/>
          </w:tcPr>
          <w:p w14:paraId="423A7E0C" w14:textId="77777777" w:rsidR="00DE4249" w:rsidRPr="0047349B" w:rsidRDefault="00DE4249" w:rsidP="00DE4249">
            <w:pPr>
              <w:rPr>
                <w:lang w:eastAsia="lv-LV"/>
              </w:rPr>
            </w:pPr>
            <w:r w:rsidRPr="0047349B">
              <w:rPr>
                <w:lang w:eastAsia="lv-LV"/>
              </w:rPr>
              <w:t>1) tiesību aktu vai politikas plānošanas dokumentu analīze</w:t>
            </w:r>
          </w:p>
        </w:tc>
        <w:tc>
          <w:tcPr>
            <w:tcW w:w="4678" w:type="dxa"/>
          </w:tcPr>
          <w:p w14:paraId="59027903" w14:textId="77777777" w:rsidR="00DE4249" w:rsidRPr="00347AE9" w:rsidRDefault="00DE4249" w:rsidP="00DE4249">
            <w:pPr>
              <w:jc w:val="both"/>
              <w:rPr>
                <w:rFonts w:cstheme="minorHAnsi"/>
                <w:szCs w:val="24"/>
              </w:rPr>
            </w:pPr>
          </w:p>
        </w:tc>
      </w:tr>
      <w:tr w:rsidR="00DE4249" w14:paraId="1A27056F" w14:textId="77777777" w:rsidTr="00463765">
        <w:tc>
          <w:tcPr>
            <w:tcW w:w="4679" w:type="dxa"/>
          </w:tcPr>
          <w:p w14:paraId="64B2E338" w14:textId="77777777" w:rsidR="00DE4249" w:rsidRPr="0047349B" w:rsidRDefault="00DE4249" w:rsidP="00DE4249">
            <w:pPr>
              <w:rPr>
                <w:lang w:eastAsia="lv-LV"/>
              </w:rPr>
            </w:pPr>
            <w:r w:rsidRPr="0047349B">
              <w:rPr>
                <w:lang w:eastAsia="lv-LV"/>
              </w:rPr>
              <w:t>2) statistikas datu analīze</w:t>
            </w:r>
          </w:p>
        </w:tc>
        <w:tc>
          <w:tcPr>
            <w:tcW w:w="4678" w:type="dxa"/>
          </w:tcPr>
          <w:p w14:paraId="3DC3C345" w14:textId="77777777" w:rsidR="00DE4249" w:rsidRPr="00347AE9" w:rsidRDefault="00DE4249" w:rsidP="00DE4249">
            <w:pPr>
              <w:rPr>
                <w:rFonts w:cstheme="minorHAnsi"/>
                <w:szCs w:val="24"/>
              </w:rPr>
            </w:pPr>
          </w:p>
        </w:tc>
      </w:tr>
      <w:tr w:rsidR="00DE4249" w14:paraId="4E7F4C71" w14:textId="77777777" w:rsidTr="00463765">
        <w:tc>
          <w:tcPr>
            <w:tcW w:w="4679" w:type="dxa"/>
          </w:tcPr>
          <w:p w14:paraId="66084538" w14:textId="77777777" w:rsidR="00DE4249" w:rsidRPr="0047349B" w:rsidRDefault="00DE4249" w:rsidP="00DE4249">
            <w:pPr>
              <w:rPr>
                <w:lang w:eastAsia="lv-LV"/>
              </w:rPr>
            </w:pPr>
            <w:r w:rsidRPr="0047349B">
              <w:rPr>
                <w:lang w:eastAsia="lv-LV"/>
              </w:rPr>
              <w:t>3) esošo pētījumu datu sekundārā analīze</w:t>
            </w:r>
          </w:p>
        </w:tc>
        <w:tc>
          <w:tcPr>
            <w:tcW w:w="4678" w:type="dxa"/>
          </w:tcPr>
          <w:p w14:paraId="665463A3" w14:textId="77777777" w:rsidR="00DE4249" w:rsidRPr="00457805" w:rsidRDefault="00DE4249" w:rsidP="00DE4249">
            <w:pPr>
              <w:rPr>
                <w:lang w:eastAsia="lv-LV"/>
              </w:rPr>
            </w:pPr>
          </w:p>
        </w:tc>
      </w:tr>
      <w:tr w:rsidR="00DE4249" w14:paraId="0DEA88CF" w14:textId="77777777" w:rsidTr="00463765">
        <w:tc>
          <w:tcPr>
            <w:tcW w:w="4679" w:type="dxa"/>
          </w:tcPr>
          <w:p w14:paraId="04A457EE" w14:textId="77777777" w:rsidR="00DE4249" w:rsidRPr="0047349B" w:rsidRDefault="00DE4249" w:rsidP="00DE4249">
            <w:pPr>
              <w:rPr>
                <w:lang w:eastAsia="lv-LV"/>
              </w:rPr>
            </w:pPr>
            <w:r w:rsidRPr="0047349B">
              <w:rPr>
                <w:lang w:eastAsia="lv-LV"/>
              </w:rPr>
              <w:t>4) padziļināto/ekspertu interviju veikšana un analīze</w:t>
            </w:r>
          </w:p>
        </w:tc>
        <w:tc>
          <w:tcPr>
            <w:tcW w:w="4678" w:type="dxa"/>
          </w:tcPr>
          <w:p w14:paraId="2FCE06E0" w14:textId="77777777" w:rsidR="00DE4249" w:rsidRPr="00457805" w:rsidRDefault="00DE4249" w:rsidP="00DE4249">
            <w:pPr>
              <w:rPr>
                <w:lang w:eastAsia="lv-LV"/>
              </w:rPr>
            </w:pPr>
          </w:p>
        </w:tc>
      </w:tr>
      <w:tr w:rsidR="00DE4249" w14:paraId="6D81956A" w14:textId="77777777" w:rsidTr="00463765">
        <w:tc>
          <w:tcPr>
            <w:tcW w:w="4679" w:type="dxa"/>
          </w:tcPr>
          <w:p w14:paraId="798F20F9" w14:textId="77777777" w:rsidR="00DE4249" w:rsidRPr="0047349B" w:rsidRDefault="00DE4249" w:rsidP="00DE4249">
            <w:pPr>
              <w:rPr>
                <w:lang w:eastAsia="lv-LV"/>
              </w:rPr>
            </w:pPr>
            <w:r w:rsidRPr="0047349B">
              <w:rPr>
                <w:lang w:eastAsia="lv-LV"/>
              </w:rPr>
              <w:t>5) fokusa grupu diskusiju veikšana un analīze</w:t>
            </w:r>
          </w:p>
        </w:tc>
        <w:tc>
          <w:tcPr>
            <w:tcW w:w="4678" w:type="dxa"/>
          </w:tcPr>
          <w:p w14:paraId="02F0DE02" w14:textId="77777777" w:rsidR="00DE4249" w:rsidRPr="00457805" w:rsidRDefault="00DE4249" w:rsidP="00DE4249">
            <w:pPr>
              <w:rPr>
                <w:lang w:eastAsia="lv-LV"/>
              </w:rPr>
            </w:pPr>
          </w:p>
        </w:tc>
      </w:tr>
      <w:tr w:rsidR="00DE4249" w14:paraId="5119455D" w14:textId="77777777" w:rsidTr="00463765">
        <w:tc>
          <w:tcPr>
            <w:tcW w:w="4679" w:type="dxa"/>
          </w:tcPr>
          <w:p w14:paraId="1F4E0789" w14:textId="77777777" w:rsidR="00DE4249" w:rsidRPr="0047349B" w:rsidRDefault="00DE4249" w:rsidP="00DE4249">
            <w:pPr>
              <w:rPr>
                <w:lang w:eastAsia="lv-LV"/>
              </w:rPr>
            </w:pPr>
            <w:r w:rsidRPr="0047349B">
              <w:rPr>
                <w:lang w:eastAsia="lv-LV"/>
              </w:rPr>
              <w:t>6) gadījumu izpēte</w:t>
            </w:r>
          </w:p>
        </w:tc>
        <w:tc>
          <w:tcPr>
            <w:tcW w:w="4678" w:type="dxa"/>
          </w:tcPr>
          <w:p w14:paraId="0F83DF46" w14:textId="77777777" w:rsidR="00DE4249" w:rsidRPr="00457805" w:rsidRDefault="00DE4249" w:rsidP="00DE4249">
            <w:pPr>
              <w:rPr>
                <w:lang w:eastAsia="lv-LV"/>
              </w:rPr>
            </w:pPr>
          </w:p>
        </w:tc>
      </w:tr>
      <w:tr w:rsidR="00DE4249" w14:paraId="44E57E60" w14:textId="77777777" w:rsidTr="00463765">
        <w:tc>
          <w:tcPr>
            <w:tcW w:w="4679" w:type="dxa"/>
          </w:tcPr>
          <w:p w14:paraId="5186DED2" w14:textId="77777777" w:rsidR="00DE4249" w:rsidRPr="0047349B" w:rsidRDefault="00DE4249" w:rsidP="00DE4249">
            <w:pPr>
              <w:rPr>
                <w:lang w:eastAsia="lv-LV"/>
              </w:rPr>
            </w:pPr>
            <w:r w:rsidRPr="0047349B">
              <w:rPr>
                <w:lang w:eastAsia="lv-LV"/>
              </w:rPr>
              <w:t>7) kvantitatīvās aptaujas veikšana un datu analīze</w:t>
            </w:r>
          </w:p>
        </w:tc>
        <w:tc>
          <w:tcPr>
            <w:tcW w:w="4678" w:type="dxa"/>
          </w:tcPr>
          <w:p w14:paraId="3E1EF68E" w14:textId="77777777" w:rsidR="00DE4249" w:rsidRPr="00457805" w:rsidRDefault="00DE4249" w:rsidP="00DE4249">
            <w:pPr>
              <w:jc w:val="center"/>
              <w:rPr>
                <w:lang w:eastAsia="lv-LV"/>
              </w:rPr>
            </w:pPr>
            <w:r>
              <w:rPr>
                <w:lang w:eastAsia="lv-LV"/>
              </w:rPr>
              <w:t>X</w:t>
            </w:r>
          </w:p>
        </w:tc>
      </w:tr>
      <w:tr w:rsidR="00DE4249" w14:paraId="6EE07DE3" w14:textId="77777777" w:rsidTr="00463765">
        <w:tc>
          <w:tcPr>
            <w:tcW w:w="4679" w:type="dxa"/>
          </w:tcPr>
          <w:p w14:paraId="332E0C15" w14:textId="77777777" w:rsidR="00DE4249" w:rsidRPr="0047349B" w:rsidRDefault="00DE4249" w:rsidP="00DE4249">
            <w:pPr>
              <w:rPr>
                <w:lang w:eastAsia="lv-LV"/>
              </w:rPr>
            </w:pPr>
            <w:r w:rsidRPr="0047349B">
              <w:rPr>
                <w:lang w:eastAsia="lv-LV"/>
              </w:rPr>
              <w:t>8) citas metodes (norādīt, kādas)</w:t>
            </w:r>
          </w:p>
        </w:tc>
        <w:tc>
          <w:tcPr>
            <w:tcW w:w="4678" w:type="dxa"/>
          </w:tcPr>
          <w:p w14:paraId="089247FE" w14:textId="77777777" w:rsidR="00DE4249" w:rsidRPr="00692D6E" w:rsidRDefault="00DE4249" w:rsidP="00DE4249">
            <w:pPr>
              <w:jc w:val="both"/>
              <w:rPr>
                <w:rFonts w:cstheme="minorHAnsi"/>
                <w:szCs w:val="24"/>
              </w:rPr>
            </w:pPr>
          </w:p>
        </w:tc>
      </w:tr>
      <w:tr w:rsidR="00DE4249" w14:paraId="32466799" w14:textId="77777777" w:rsidTr="00463765">
        <w:tc>
          <w:tcPr>
            <w:tcW w:w="4679" w:type="dxa"/>
          </w:tcPr>
          <w:p w14:paraId="354A6A85" w14:textId="77777777" w:rsidR="00DE4249" w:rsidRPr="0047349B" w:rsidRDefault="00DE4249" w:rsidP="00DE4249">
            <w:pPr>
              <w:rPr>
                <w:lang w:eastAsia="lv-LV"/>
              </w:rPr>
            </w:pPr>
            <w:r w:rsidRPr="0047349B">
              <w:rPr>
                <w:b/>
                <w:bCs/>
                <w:lang w:eastAsia="lv-LV"/>
              </w:rPr>
              <w:t>Kvantitatīvās pētījuma metodes</w:t>
            </w:r>
            <w:r w:rsidRPr="0047349B">
              <w:rPr>
                <w:b/>
                <w:bCs/>
                <w:lang w:eastAsia="lv-LV"/>
              </w:rPr>
              <w:br/>
            </w:r>
            <w:r w:rsidRPr="0047349B">
              <w:rPr>
                <w:lang w:eastAsia="lv-LV"/>
              </w:rPr>
              <w:t>(ja attiecināms):</w:t>
            </w:r>
          </w:p>
        </w:tc>
        <w:tc>
          <w:tcPr>
            <w:tcW w:w="4678" w:type="dxa"/>
          </w:tcPr>
          <w:p w14:paraId="02E5504E" w14:textId="77777777" w:rsidR="00DE4249" w:rsidRPr="00457805" w:rsidRDefault="00DE4249" w:rsidP="00DE4249">
            <w:pPr>
              <w:rPr>
                <w:lang w:eastAsia="lv-LV"/>
              </w:rPr>
            </w:pPr>
          </w:p>
        </w:tc>
      </w:tr>
      <w:tr w:rsidR="00DE4249" w14:paraId="7A5365E8" w14:textId="77777777" w:rsidTr="00463765">
        <w:tc>
          <w:tcPr>
            <w:tcW w:w="4679" w:type="dxa"/>
          </w:tcPr>
          <w:p w14:paraId="52013951" w14:textId="77777777" w:rsidR="00DE4249" w:rsidRPr="0047349B" w:rsidRDefault="00DE4249" w:rsidP="00DE4249">
            <w:pPr>
              <w:rPr>
                <w:lang w:eastAsia="lv-LV"/>
              </w:rPr>
            </w:pPr>
            <w:r w:rsidRPr="0047349B">
              <w:rPr>
                <w:lang w:eastAsia="lv-LV"/>
              </w:rPr>
              <w:t>1) aptaujas izlases metode</w:t>
            </w:r>
          </w:p>
        </w:tc>
        <w:tc>
          <w:tcPr>
            <w:tcW w:w="4678" w:type="dxa"/>
          </w:tcPr>
          <w:p w14:paraId="1400B604" w14:textId="77777777" w:rsidR="00DE4249" w:rsidRPr="00457805" w:rsidRDefault="00DE4249" w:rsidP="00DE4249">
            <w:pPr>
              <w:rPr>
                <w:lang w:eastAsia="lv-LV"/>
              </w:rPr>
            </w:pPr>
            <w:r>
              <w:rPr>
                <w:lang w:eastAsia="lv-LV"/>
              </w:rPr>
              <w:t>Tiešās intervijas respondentu dzīves vietās, stratificētā nejaušā izlase.</w:t>
            </w:r>
          </w:p>
        </w:tc>
      </w:tr>
      <w:tr w:rsidR="00DE4249" w14:paraId="528C249C" w14:textId="77777777" w:rsidTr="00463765">
        <w:tc>
          <w:tcPr>
            <w:tcW w:w="4679" w:type="dxa"/>
          </w:tcPr>
          <w:p w14:paraId="6C7966CC" w14:textId="77777777" w:rsidR="00DE4249" w:rsidRPr="0047349B" w:rsidRDefault="00DE4249" w:rsidP="00DE4249">
            <w:pPr>
              <w:rPr>
                <w:lang w:eastAsia="lv-LV"/>
              </w:rPr>
            </w:pPr>
            <w:r w:rsidRPr="0047349B">
              <w:rPr>
                <w:lang w:eastAsia="lv-LV"/>
              </w:rPr>
              <w:t>2) aptaujāto/anketēto respondentu/vienību skaits</w:t>
            </w:r>
          </w:p>
        </w:tc>
        <w:tc>
          <w:tcPr>
            <w:tcW w:w="4678" w:type="dxa"/>
          </w:tcPr>
          <w:p w14:paraId="08698125" w14:textId="77777777" w:rsidR="00DE4249" w:rsidRPr="00457805" w:rsidRDefault="00DE4249" w:rsidP="00DE4249">
            <w:pPr>
              <w:rPr>
                <w:lang w:eastAsia="lv-LV"/>
              </w:rPr>
            </w:pPr>
          </w:p>
        </w:tc>
      </w:tr>
      <w:tr w:rsidR="00DE4249" w14:paraId="6DFEB6B5" w14:textId="77777777" w:rsidTr="00463765">
        <w:tc>
          <w:tcPr>
            <w:tcW w:w="4679" w:type="dxa"/>
          </w:tcPr>
          <w:p w14:paraId="6565490A" w14:textId="77777777" w:rsidR="00DE4249" w:rsidRPr="00457805" w:rsidRDefault="00DE4249" w:rsidP="00DE4249">
            <w:pPr>
              <w:rPr>
                <w:lang w:eastAsia="lv-LV"/>
              </w:rPr>
            </w:pPr>
            <w:r w:rsidRPr="00457805">
              <w:rPr>
                <w:b/>
                <w:bCs/>
                <w:lang w:eastAsia="lv-LV"/>
              </w:rPr>
              <w:t>Kvalitatīvās pētījuma metodes</w:t>
            </w:r>
            <w:r w:rsidRPr="00457805">
              <w:rPr>
                <w:b/>
                <w:bCs/>
                <w:lang w:eastAsia="lv-LV"/>
              </w:rPr>
              <w:br/>
            </w:r>
            <w:r w:rsidRPr="00457805">
              <w:rPr>
                <w:lang w:eastAsia="lv-LV"/>
              </w:rPr>
              <w:t>(ja attiecināms):</w:t>
            </w:r>
          </w:p>
        </w:tc>
        <w:tc>
          <w:tcPr>
            <w:tcW w:w="4678" w:type="dxa"/>
          </w:tcPr>
          <w:p w14:paraId="79AFF2B3" w14:textId="77777777" w:rsidR="00DE4249" w:rsidRPr="00457805" w:rsidRDefault="00DE4249" w:rsidP="00DE4249">
            <w:pPr>
              <w:rPr>
                <w:lang w:eastAsia="lv-LV"/>
              </w:rPr>
            </w:pPr>
          </w:p>
        </w:tc>
      </w:tr>
      <w:tr w:rsidR="00DE4249" w14:paraId="1CB1A3FC" w14:textId="77777777" w:rsidTr="00463765">
        <w:tc>
          <w:tcPr>
            <w:tcW w:w="4679" w:type="dxa"/>
          </w:tcPr>
          <w:p w14:paraId="5FB43D5B" w14:textId="77777777" w:rsidR="00DE4249" w:rsidRPr="00457805" w:rsidRDefault="00DE4249" w:rsidP="00DE4249">
            <w:pPr>
              <w:rPr>
                <w:lang w:eastAsia="lv-LV"/>
              </w:rPr>
            </w:pPr>
            <w:r w:rsidRPr="00457805">
              <w:rPr>
                <w:lang w:eastAsia="lv-LV"/>
              </w:rPr>
              <w:lastRenderedPageBreak/>
              <w:t>1) padziļināto/ekspertu interviju skaits (ja attiecināms)</w:t>
            </w:r>
          </w:p>
        </w:tc>
        <w:tc>
          <w:tcPr>
            <w:tcW w:w="4678" w:type="dxa"/>
          </w:tcPr>
          <w:p w14:paraId="20A2B2CA" w14:textId="77777777" w:rsidR="00DE4249" w:rsidRPr="00457805" w:rsidRDefault="00DE4249" w:rsidP="00DE4249">
            <w:pPr>
              <w:rPr>
                <w:lang w:eastAsia="lv-LV"/>
              </w:rPr>
            </w:pPr>
          </w:p>
        </w:tc>
      </w:tr>
      <w:tr w:rsidR="00DE4249" w14:paraId="69ADFCF0" w14:textId="77777777" w:rsidTr="00463765">
        <w:tc>
          <w:tcPr>
            <w:tcW w:w="4679" w:type="dxa"/>
          </w:tcPr>
          <w:p w14:paraId="65ECC1A7" w14:textId="77777777" w:rsidR="00DE4249" w:rsidRPr="00457805" w:rsidRDefault="00DE4249" w:rsidP="00DE4249">
            <w:pPr>
              <w:rPr>
                <w:lang w:eastAsia="lv-LV"/>
              </w:rPr>
            </w:pPr>
            <w:r w:rsidRPr="00457805">
              <w:rPr>
                <w:lang w:eastAsia="lv-LV"/>
              </w:rPr>
              <w:t>2) fokusa grupu diskusiju skaits (ja attiecināms)</w:t>
            </w:r>
          </w:p>
        </w:tc>
        <w:tc>
          <w:tcPr>
            <w:tcW w:w="4678" w:type="dxa"/>
          </w:tcPr>
          <w:p w14:paraId="46CE0BF8" w14:textId="77777777" w:rsidR="00DE4249" w:rsidRPr="00457805" w:rsidRDefault="00DE4249" w:rsidP="00DE4249">
            <w:pPr>
              <w:rPr>
                <w:lang w:eastAsia="lv-LV"/>
              </w:rPr>
            </w:pPr>
          </w:p>
        </w:tc>
      </w:tr>
      <w:tr w:rsidR="00DE4249" w14:paraId="7001F20B" w14:textId="77777777" w:rsidTr="00463765">
        <w:tc>
          <w:tcPr>
            <w:tcW w:w="4679" w:type="dxa"/>
          </w:tcPr>
          <w:p w14:paraId="52CD66D7" w14:textId="77777777" w:rsidR="00DE4249" w:rsidRPr="00457805" w:rsidRDefault="00DE4249" w:rsidP="00DE4249">
            <w:pPr>
              <w:rPr>
                <w:b/>
                <w:bCs/>
                <w:lang w:eastAsia="lv-LV"/>
              </w:rPr>
            </w:pPr>
            <w:r w:rsidRPr="00457805">
              <w:rPr>
                <w:b/>
                <w:bCs/>
                <w:lang w:eastAsia="lv-LV"/>
              </w:rPr>
              <w:t>Izmantotās analīzes grupas (griezumi)</w:t>
            </w:r>
          </w:p>
        </w:tc>
        <w:tc>
          <w:tcPr>
            <w:tcW w:w="4678" w:type="dxa"/>
          </w:tcPr>
          <w:p w14:paraId="2CEF3646" w14:textId="70BFA93D" w:rsidR="00DE4249" w:rsidRPr="00457805" w:rsidRDefault="00DE4249" w:rsidP="00DE4249">
            <w:pPr>
              <w:rPr>
                <w:lang w:eastAsia="lv-LV"/>
              </w:rPr>
            </w:pPr>
            <w:r>
              <w:rPr>
                <w:lang w:eastAsia="lv-LV"/>
              </w:rPr>
              <w:t>Dzīvesvieta (reģioni un apdzīvotās vietas tips), dzimums, tautība, vecums, nodarbinātības sektors, izglītības līmenis, ģimenē lietotā sarunvaloda, pilsonība, ienākumu līmenis.</w:t>
            </w:r>
          </w:p>
        </w:tc>
      </w:tr>
      <w:tr w:rsidR="00DE4249" w14:paraId="010DCE48" w14:textId="77777777" w:rsidTr="00463765">
        <w:tc>
          <w:tcPr>
            <w:tcW w:w="4679" w:type="dxa"/>
          </w:tcPr>
          <w:p w14:paraId="15AF8F4D" w14:textId="77777777" w:rsidR="00DE4249" w:rsidRPr="00457805" w:rsidRDefault="00DE4249" w:rsidP="00DE4249">
            <w:pPr>
              <w:rPr>
                <w:b/>
                <w:bCs/>
                <w:lang w:eastAsia="lv-LV"/>
              </w:rPr>
            </w:pPr>
            <w:r w:rsidRPr="00457805">
              <w:rPr>
                <w:b/>
                <w:bCs/>
                <w:lang w:eastAsia="lv-LV"/>
              </w:rPr>
              <w:t>Pētījuma pasūtītāja kontaktinformācija</w:t>
            </w:r>
          </w:p>
        </w:tc>
        <w:tc>
          <w:tcPr>
            <w:tcW w:w="4678" w:type="dxa"/>
          </w:tcPr>
          <w:p w14:paraId="0B1947D4" w14:textId="050DAE85" w:rsidR="00DE4249" w:rsidRDefault="00DE4249" w:rsidP="00DE4249">
            <w:pPr>
              <w:widowControl w:val="0"/>
              <w:autoSpaceDE w:val="0"/>
              <w:autoSpaceDN w:val="0"/>
              <w:adjustRightInd w:val="0"/>
              <w:rPr>
                <w:rFonts w:eastAsia="Times New Roman" w:cs="Times New Roman"/>
                <w:szCs w:val="24"/>
                <w:lang w:eastAsia="lv-LV"/>
              </w:rPr>
            </w:pPr>
            <w:r>
              <w:rPr>
                <w:rFonts w:eastAsia="Times New Roman" w:cs="Times New Roman"/>
                <w:szCs w:val="24"/>
                <w:lang w:eastAsia="lv-LV"/>
              </w:rPr>
              <w:t xml:space="preserve">Zane </w:t>
            </w:r>
            <w:r w:rsidR="0008315C">
              <w:rPr>
                <w:rFonts w:eastAsia="Times New Roman" w:cs="Times New Roman"/>
                <w:szCs w:val="24"/>
                <w:lang w:eastAsia="lv-LV"/>
              </w:rPr>
              <w:t>Berķe</w:t>
            </w:r>
          </w:p>
          <w:p w14:paraId="63E55519" w14:textId="77777777" w:rsidR="00DE4249" w:rsidRDefault="00DE4249" w:rsidP="00DE4249">
            <w:pPr>
              <w:widowControl w:val="0"/>
              <w:autoSpaceDE w:val="0"/>
              <w:autoSpaceDN w:val="0"/>
              <w:adjustRightInd w:val="0"/>
              <w:rPr>
                <w:rFonts w:eastAsia="Times New Roman" w:cs="Times New Roman"/>
                <w:szCs w:val="24"/>
                <w:lang w:eastAsia="lv-LV"/>
              </w:rPr>
            </w:pPr>
            <w:r>
              <w:rPr>
                <w:rFonts w:eastAsia="Times New Roman" w:cs="Times New Roman"/>
                <w:szCs w:val="24"/>
                <w:lang w:eastAsia="lv-LV"/>
              </w:rPr>
              <w:t>Valsts kanceleja</w:t>
            </w:r>
          </w:p>
          <w:p w14:paraId="6FFE8C0D" w14:textId="69ADF2D4" w:rsidR="00DE4249" w:rsidRDefault="00DE4249" w:rsidP="00DE4249">
            <w:pPr>
              <w:widowControl w:val="0"/>
              <w:autoSpaceDE w:val="0"/>
              <w:autoSpaceDN w:val="0"/>
              <w:adjustRightInd w:val="0"/>
              <w:rPr>
                <w:rFonts w:eastAsia="Times New Roman" w:cs="Times New Roman"/>
                <w:szCs w:val="24"/>
                <w:lang w:eastAsia="lv-LV"/>
              </w:rPr>
            </w:pPr>
            <w:r>
              <w:rPr>
                <w:rFonts w:eastAsia="Times New Roman" w:cs="Times New Roman"/>
                <w:szCs w:val="24"/>
                <w:lang w:eastAsia="lv-LV"/>
              </w:rPr>
              <w:t>Komunikācijas departamenta vadītāja vietniece</w:t>
            </w:r>
          </w:p>
          <w:p w14:paraId="134FC51D" w14:textId="08C08994" w:rsidR="00DE4249" w:rsidRDefault="00DE4249" w:rsidP="00DE4249">
            <w:pPr>
              <w:widowControl w:val="0"/>
              <w:autoSpaceDE w:val="0"/>
              <w:autoSpaceDN w:val="0"/>
              <w:adjustRightInd w:val="0"/>
              <w:rPr>
                <w:rFonts w:eastAsia="Times New Roman" w:cs="Times New Roman"/>
                <w:szCs w:val="24"/>
                <w:lang w:eastAsia="lv-LV"/>
              </w:rPr>
            </w:pPr>
            <w:r>
              <w:rPr>
                <w:rFonts w:eastAsia="Times New Roman" w:cs="Times New Roman"/>
                <w:szCs w:val="24"/>
                <w:lang w:eastAsia="lv-LV"/>
              </w:rPr>
              <w:t>Tālr. 67082902</w:t>
            </w:r>
          </w:p>
          <w:p w14:paraId="76499CB5" w14:textId="302CD5C7" w:rsidR="00DE4249" w:rsidRPr="00FF4C9F" w:rsidRDefault="00DE4249" w:rsidP="00DE4249">
            <w:pPr>
              <w:widowControl w:val="0"/>
              <w:autoSpaceDE w:val="0"/>
              <w:autoSpaceDN w:val="0"/>
              <w:adjustRightInd w:val="0"/>
              <w:rPr>
                <w:rFonts w:eastAsia="Times New Roman" w:cs="Times New Roman"/>
                <w:szCs w:val="24"/>
                <w:lang w:eastAsia="lv-LV"/>
              </w:rPr>
            </w:pPr>
            <w:r>
              <w:rPr>
                <w:rFonts w:eastAsia="Times New Roman" w:cs="Times New Roman"/>
                <w:szCs w:val="24"/>
                <w:lang w:eastAsia="lv-LV"/>
              </w:rPr>
              <w:t>Zane.</w:t>
            </w:r>
            <w:r w:rsidR="0008315C">
              <w:rPr>
                <w:rFonts w:eastAsia="Times New Roman" w:cs="Times New Roman"/>
                <w:szCs w:val="24"/>
                <w:lang w:eastAsia="lv-LV"/>
              </w:rPr>
              <w:t>Berke</w:t>
            </w:r>
            <w:r>
              <w:rPr>
                <w:rFonts w:eastAsia="Times New Roman" w:cs="Times New Roman"/>
                <w:szCs w:val="24"/>
                <w:lang w:eastAsia="lv-LV"/>
              </w:rPr>
              <w:t>@mk.gov.lv</w:t>
            </w:r>
          </w:p>
        </w:tc>
      </w:tr>
      <w:tr w:rsidR="00DE4249" w14:paraId="7C8334F3" w14:textId="77777777" w:rsidTr="00463765">
        <w:tc>
          <w:tcPr>
            <w:tcW w:w="4679" w:type="dxa"/>
          </w:tcPr>
          <w:p w14:paraId="09AF63D2" w14:textId="77777777" w:rsidR="00DE4249" w:rsidRPr="00457805" w:rsidRDefault="00DE4249" w:rsidP="00DE4249">
            <w:pPr>
              <w:rPr>
                <w:b/>
                <w:bCs/>
                <w:lang w:eastAsia="lv-LV"/>
              </w:rPr>
            </w:pPr>
            <w:r w:rsidRPr="00457805">
              <w:rPr>
                <w:b/>
                <w:bCs/>
                <w:lang w:eastAsia="lv-LV"/>
              </w:rPr>
              <w:t>Pētījuma autori*** (autortiesību subjekti)</w:t>
            </w:r>
          </w:p>
        </w:tc>
        <w:tc>
          <w:tcPr>
            <w:tcW w:w="4678" w:type="dxa"/>
          </w:tcPr>
          <w:p w14:paraId="28952398" w14:textId="77777777" w:rsidR="00DE4249" w:rsidRPr="00457805" w:rsidRDefault="00DE4249" w:rsidP="00DE4249">
            <w:pPr>
              <w:rPr>
                <w:lang w:eastAsia="lv-LV"/>
              </w:rPr>
            </w:pPr>
            <w:r>
              <w:rPr>
                <w:lang w:eastAsia="lv-LV"/>
              </w:rPr>
              <w:t xml:space="preserve">Autortiesības pilnībā pieder pasūtītājam. </w:t>
            </w:r>
          </w:p>
        </w:tc>
      </w:tr>
    </w:tbl>
    <w:p w14:paraId="509355B6" w14:textId="77777777" w:rsidR="00457805" w:rsidRDefault="00457805" w:rsidP="00457805">
      <w:pPr>
        <w:jc w:val="center"/>
        <w:rPr>
          <w:color w:val="000000" w:themeColor="text1"/>
          <w:szCs w:val="24"/>
          <w:lang w:eastAsia="lv-LV"/>
        </w:rPr>
      </w:pPr>
    </w:p>
    <w:p w14:paraId="3F4BF9EA" w14:textId="77777777" w:rsidR="00457805" w:rsidRDefault="00457805" w:rsidP="00457805">
      <w:pPr>
        <w:jc w:val="center"/>
        <w:rPr>
          <w:color w:val="000000" w:themeColor="text1"/>
          <w:szCs w:val="24"/>
          <w:lang w:eastAsia="lv-LV"/>
        </w:rPr>
      </w:pPr>
    </w:p>
    <w:p w14:paraId="60BF54D5" w14:textId="77777777" w:rsidR="00457805" w:rsidRDefault="00457805" w:rsidP="00457805">
      <w:pPr>
        <w:jc w:val="center"/>
        <w:rPr>
          <w:b/>
          <w:bCs/>
          <w:vanish/>
          <w:lang w:eastAsia="lv-LV"/>
        </w:rPr>
      </w:pPr>
    </w:p>
    <w:p w14:paraId="27264C84" w14:textId="77777777" w:rsidR="00457805" w:rsidRPr="00457805" w:rsidRDefault="00457805" w:rsidP="00457805">
      <w:pPr>
        <w:rPr>
          <w:lang w:eastAsia="lv-LV"/>
        </w:rPr>
      </w:pPr>
    </w:p>
    <w:p w14:paraId="03523554" w14:textId="77777777" w:rsidR="00457805" w:rsidRDefault="00457805" w:rsidP="00457805">
      <w:pPr>
        <w:rPr>
          <w:lang w:eastAsia="lv-LV"/>
        </w:rPr>
      </w:pPr>
    </w:p>
    <w:p w14:paraId="03D49509" w14:textId="77777777" w:rsidR="00457805" w:rsidRDefault="00457805" w:rsidP="00882826">
      <w:pPr>
        <w:jc w:val="both"/>
        <w:rPr>
          <w:lang w:eastAsia="lv-LV"/>
        </w:rPr>
      </w:pPr>
    </w:p>
    <w:p w14:paraId="0D66329F" w14:textId="77777777" w:rsidR="00457805" w:rsidRDefault="00457805" w:rsidP="00882826">
      <w:pPr>
        <w:jc w:val="both"/>
        <w:rPr>
          <w:lang w:eastAsia="lv-LV"/>
        </w:rPr>
      </w:pPr>
      <w:r>
        <w:rPr>
          <w:lang w:eastAsia="lv-LV"/>
        </w:rPr>
        <w:t>*</w:t>
      </w:r>
      <w:r w:rsidRPr="00457805">
        <w:rPr>
          <w:lang w:eastAsia="lv-LV"/>
        </w:rPr>
        <w:t>Pētījuma klasifikācijas grupa atbilstoši Ministru kabineta 2013.gada 3.janvāra noteikumu Nr.1 "Kārtība, kādā publiska persona pasūta pētījumus"</w:t>
      </w:r>
      <w:hyperlink r:id="rId7" w:anchor="n2" w:history="1">
        <w:r w:rsidRPr="00457805">
          <w:rPr>
            <w:lang w:eastAsia="lv-LV"/>
          </w:rPr>
          <w:t xml:space="preserve"> II nodaļai</w:t>
        </w:r>
      </w:hyperlink>
      <w:r w:rsidRPr="00457805">
        <w:rPr>
          <w:lang w:eastAsia="lv-LV"/>
        </w:rPr>
        <w:t>.</w:t>
      </w:r>
    </w:p>
    <w:p w14:paraId="24B0B8A6" w14:textId="77777777" w:rsidR="00457805" w:rsidRPr="00457805" w:rsidRDefault="00457805" w:rsidP="00882826">
      <w:pPr>
        <w:jc w:val="both"/>
        <w:rPr>
          <w:lang w:eastAsia="lv-LV"/>
        </w:rPr>
      </w:pPr>
    </w:p>
    <w:p w14:paraId="2AA87A0E" w14:textId="77777777" w:rsidR="00457805" w:rsidRDefault="00457805" w:rsidP="00882826">
      <w:pPr>
        <w:jc w:val="both"/>
        <w:rPr>
          <w:lang w:eastAsia="lv-LV"/>
        </w:rPr>
      </w:pPr>
      <w:r>
        <w:rPr>
          <w:lang w:eastAsia="lv-LV"/>
        </w:rPr>
        <w:t>**</w:t>
      </w:r>
      <w:r w:rsidRPr="00457805">
        <w:rPr>
          <w:lang w:eastAsia="lv-LV"/>
        </w:rPr>
        <w:t>Politikas joma un nozare atbilstoši Ministru kabineta 2009.gada 7.aprīļa noteikumu Nr.300 "</w:t>
      </w:r>
      <w:hyperlink r:id="rId8" w:tgtFrame="_blank" w:history="1">
        <w:r w:rsidRPr="00457805">
          <w:rPr>
            <w:lang w:eastAsia="lv-LV"/>
          </w:rPr>
          <w:t>Ministru kabineta kārtības rullis</w:t>
        </w:r>
      </w:hyperlink>
      <w:r w:rsidRPr="00457805">
        <w:rPr>
          <w:lang w:eastAsia="lv-LV"/>
        </w:rPr>
        <w:t xml:space="preserve">" </w:t>
      </w:r>
      <w:hyperlink r:id="rId9" w:anchor="piel3" w:tgtFrame="_blank" w:history="1">
        <w:r w:rsidRPr="00457805">
          <w:rPr>
            <w:lang w:eastAsia="lv-LV"/>
          </w:rPr>
          <w:t>3.pielikumam</w:t>
        </w:r>
      </w:hyperlink>
      <w:r w:rsidRPr="00457805">
        <w:rPr>
          <w:lang w:eastAsia="lv-LV"/>
        </w:rPr>
        <w:t>.</w:t>
      </w:r>
    </w:p>
    <w:p w14:paraId="1C5F40B2" w14:textId="77777777" w:rsidR="00457805" w:rsidRPr="00457805" w:rsidRDefault="00457805" w:rsidP="00882826">
      <w:pPr>
        <w:jc w:val="both"/>
        <w:rPr>
          <w:lang w:eastAsia="lv-LV"/>
        </w:rPr>
      </w:pPr>
    </w:p>
    <w:p w14:paraId="0D41A114" w14:textId="77777777" w:rsidR="00B031B7" w:rsidRPr="00457805" w:rsidRDefault="00457805" w:rsidP="00882826">
      <w:pPr>
        <w:jc w:val="both"/>
      </w:pPr>
      <w:r>
        <w:rPr>
          <w:lang w:eastAsia="lv-LV"/>
        </w:rPr>
        <w:t>***</w:t>
      </w:r>
      <w:r w:rsidRPr="00457805">
        <w:rPr>
          <w:lang w:eastAsia="lv-LV"/>
        </w:rPr>
        <w:t>Atbilstoši pētījuma īstenotāja sniegtajai informācijai.</w:t>
      </w:r>
    </w:p>
    <w:sectPr w:rsidR="00B031B7" w:rsidRPr="00457805" w:rsidSect="00FF4C9F">
      <w:headerReference w:type="default" r:id="rId10"/>
      <w:pgSz w:w="11906" w:h="16838"/>
      <w:pgMar w:top="1440"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3145" w14:textId="77777777" w:rsidR="00C91238" w:rsidRDefault="00C91238" w:rsidP="00FF4C9F">
      <w:r>
        <w:separator/>
      </w:r>
    </w:p>
  </w:endnote>
  <w:endnote w:type="continuationSeparator" w:id="0">
    <w:p w14:paraId="2412823F" w14:textId="77777777" w:rsidR="00C91238" w:rsidRDefault="00C91238" w:rsidP="00FF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4E51" w14:textId="77777777" w:rsidR="00C91238" w:rsidRDefault="00C91238" w:rsidP="00FF4C9F">
      <w:r>
        <w:separator/>
      </w:r>
    </w:p>
  </w:footnote>
  <w:footnote w:type="continuationSeparator" w:id="0">
    <w:p w14:paraId="61782D66" w14:textId="77777777" w:rsidR="00C91238" w:rsidRDefault="00C91238" w:rsidP="00FF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438387"/>
      <w:docPartObj>
        <w:docPartGallery w:val="Page Numbers (Top of Page)"/>
        <w:docPartUnique/>
      </w:docPartObj>
    </w:sdtPr>
    <w:sdtEndPr>
      <w:rPr>
        <w:noProof/>
      </w:rPr>
    </w:sdtEndPr>
    <w:sdtContent>
      <w:p w14:paraId="19ABE7F9" w14:textId="1791B38E" w:rsidR="00FF4C9F" w:rsidRDefault="00FF4C9F">
        <w:pPr>
          <w:pStyle w:val="Header"/>
          <w:jc w:val="center"/>
        </w:pPr>
        <w:r>
          <w:fldChar w:fldCharType="begin"/>
        </w:r>
        <w:r>
          <w:instrText xml:space="preserve"> PAGE   \* MERGEFORMAT </w:instrText>
        </w:r>
        <w:r>
          <w:fldChar w:fldCharType="separate"/>
        </w:r>
        <w:r w:rsidR="00F93750">
          <w:rPr>
            <w:noProof/>
          </w:rPr>
          <w:t>3</w:t>
        </w:r>
        <w:r>
          <w:rPr>
            <w:noProof/>
          </w:rPr>
          <w:fldChar w:fldCharType="end"/>
        </w:r>
      </w:p>
    </w:sdtContent>
  </w:sdt>
  <w:p w14:paraId="72EEF320" w14:textId="77777777" w:rsidR="00FF4C9F" w:rsidRDefault="00FF4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54F9D"/>
    <w:multiLevelType w:val="multilevel"/>
    <w:tmpl w:val="0DE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C5C97"/>
    <w:multiLevelType w:val="hybridMultilevel"/>
    <w:tmpl w:val="8FF4EF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53809757">
    <w:abstractNumId w:val="0"/>
  </w:num>
  <w:num w:numId="2" w16cid:durableId="1361780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05"/>
    <w:rsid w:val="000009F5"/>
    <w:rsid w:val="000146D9"/>
    <w:rsid w:val="0002169E"/>
    <w:rsid w:val="000570EC"/>
    <w:rsid w:val="0007137B"/>
    <w:rsid w:val="000824B8"/>
    <w:rsid w:val="0008315C"/>
    <w:rsid w:val="00097726"/>
    <w:rsid w:val="000A17B6"/>
    <w:rsid w:val="000E096E"/>
    <w:rsid w:val="000E17D1"/>
    <w:rsid w:val="000E598B"/>
    <w:rsid w:val="00146BA1"/>
    <w:rsid w:val="00153026"/>
    <w:rsid w:val="001958FD"/>
    <w:rsid w:val="001C28E1"/>
    <w:rsid w:val="00206D90"/>
    <w:rsid w:val="00212F0C"/>
    <w:rsid w:val="00235ED6"/>
    <w:rsid w:val="00274ABA"/>
    <w:rsid w:val="00277CBE"/>
    <w:rsid w:val="00330218"/>
    <w:rsid w:val="00343837"/>
    <w:rsid w:val="00365C7A"/>
    <w:rsid w:val="00375763"/>
    <w:rsid w:val="00397A73"/>
    <w:rsid w:val="003D1688"/>
    <w:rsid w:val="003D2D8B"/>
    <w:rsid w:val="003E311F"/>
    <w:rsid w:val="003E4291"/>
    <w:rsid w:val="003E7F96"/>
    <w:rsid w:val="004106B9"/>
    <w:rsid w:val="00421017"/>
    <w:rsid w:val="00455F6E"/>
    <w:rsid w:val="00457805"/>
    <w:rsid w:val="00463765"/>
    <w:rsid w:val="0046768E"/>
    <w:rsid w:val="00470311"/>
    <w:rsid w:val="0047349B"/>
    <w:rsid w:val="004900EA"/>
    <w:rsid w:val="00493F1A"/>
    <w:rsid w:val="004F16A7"/>
    <w:rsid w:val="005278B2"/>
    <w:rsid w:val="00547376"/>
    <w:rsid w:val="00593A9F"/>
    <w:rsid w:val="005A1950"/>
    <w:rsid w:val="005F0C8B"/>
    <w:rsid w:val="006073CC"/>
    <w:rsid w:val="00626DBB"/>
    <w:rsid w:val="00692D6E"/>
    <w:rsid w:val="006A7FC1"/>
    <w:rsid w:val="006C50B8"/>
    <w:rsid w:val="007222CE"/>
    <w:rsid w:val="007471E2"/>
    <w:rsid w:val="00755218"/>
    <w:rsid w:val="00760094"/>
    <w:rsid w:val="00770433"/>
    <w:rsid w:val="007B61FD"/>
    <w:rsid w:val="008041FE"/>
    <w:rsid w:val="008277B0"/>
    <w:rsid w:val="0086483A"/>
    <w:rsid w:val="00882826"/>
    <w:rsid w:val="008A4DE5"/>
    <w:rsid w:val="008B7A98"/>
    <w:rsid w:val="008D381E"/>
    <w:rsid w:val="008D5780"/>
    <w:rsid w:val="008E44A0"/>
    <w:rsid w:val="008E7FB2"/>
    <w:rsid w:val="008F581A"/>
    <w:rsid w:val="00923799"/>
    <w:rsid w:val="00966DF8"/>
    <w:rsid w:val="009B1D4F"/>
    <w:rsid w:val="009B30F3"/>
    <w:rsid w:val="009C238E"/>
    <w:rsid w:val="00A22495"/>
    <w:rsid w:val="00A813F9"/>
    <w:rsid w:val="00A8794F"/>
    <w:rsid w:val="00AC5CF6"/>
    <w:rsid w:val="00AE3629"/>
    <w:rsid w:val="00B031B7"/>
    <w:rsid w:val="00B41062"/>
    <w:rsid w:val="00B4121D"/>
    <w:rsid w:val="00B429A8"/>
    <w:rsid w:val="00B5072F"/>
    <w:rsid w:val="00B51AF5"/>
    <w:rsid w:val="00B529F5"/>
    <w:rsid w:val="00B57728"/>
    <w:rsid w:val="00BB092A"/>
    <w:rsid w:val="00BB19D6"/>
    <w:rsid w:val="00BC7913"/>
    <w:rsid w:val="00BD55D7"/>
    <w:rsid w:val="00BF44E2"/>
    <w:rsid w:val="00BF698F"/>
    <w:rsid w:val="00C5588B"/>
    <w:rsid w:val="00C65255"/>
    <w:rsid w:val="00C87F55"/>
    <w:rsid w:val="00C91238"/>
    <w:rsid w:val="00CB33D2"/>
    <w:rsid w:val="00CB4B80"/>
    <w:rsid w:val="00CC6BC5"/>
    <w:rsid w:val="00D0204C"/>
    <w:rsid w:val="00D80558"/>
    <w:rsid w:val="00D82218"/>
    <w:rsid w:val="00DC7E92"/>
    <w:rsid w:val="00DE0CBC"/>
    <w:rsid w:val="00DE4249"/>
    <w:rsid w:val="00DE5ADC"/>
    <w:rsid w:val="00E70967"/>
    <w:rsid w:val="00E72BD4"/>
    <w:rsid w:val="00E839DB"/>
    <w:rsid w:val="00EC21FC"/>
    <w:rsid w:val="00EC5077"/>
    <w:rsid w:val="00EF17C9"/>
    <w:rsid w:val="00F35D49"/>
    <w:rsid w:val="00F73A4E"/>
    <w:rsid w:val="00F93750"/>
    <w:rsid w:val="00FA05C0"/>
    <w:rsid w:val="00FF4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7944"/>
  <w15:chartTrackingRefBased/>
  <w15:docId w15:val="{6B9938A0-920A-4C02-8F96-123D376C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0146D9"/>
    <w:pPr>
      <w:autoSpaceDE w:val="0"/>
      <w:autoSpaceDN w:val="0"/>
      <w:adjustRightInd w:val="0"/>
    </w:pPr>
    <w:rPr>
      <w:rFonts w:ascii="EUAlbertina" w:hAnsi="EUAlbertina"/>
      <w:szCs w:val="24"/>
    </w:rPr>
  </w:style>
  <w:style w:type="paragraph" w:styleId="ListParagraph">
    <w:name w:val="List Paragraph"/>
    <w:basedOn w:val="Normal"/>
    <w:uiPriority w:val="34"/>
    <w:qFormat/>
    <w:rsid w:val="000146D9"/>
    <w:pPr>
      <w:ind w:left="720"/>
      <w:contextualSpacing/>
      <w:jc w:val="both"/>
    </w:pPr>
    <w:rPr>
      <w:rFonts w:eastAsia="Times New Roman" w:cs="Times New Roman"/>
      <w:szCs w:val="20"/>
    </w:rPr>
  </w:style>
  <w:style w:type="character" w:styleId="Hyperlink">
    <w:name w:val="Hyperlink"/>
    <w:basedOn w:val="DefaultParagraphFont"/>
    <w:uiPriority w:val="99"/>
    <w:unhideWhenUsed/>
    <w:rsid w:val="00B5072F"/>
    <w:rPr>
      <w:color w:val="0563C1" w:themeColor="hyperlink"/>
      <w:u w:val="single"/>
    </w:rPr>
  </w:style>
  <w:style w:type="paragraph" w:customStyle="1" w:styleId="mt-translation">
    <w:name w:val="mt-translation"/>
    <w:basedOn w:val="Normal"/>
    <w:rsid w:val="003E311F"/>
    <w:pPr>
      <w:spacing w:before="100" w:beforeAutospacing="1" w:after="100" w:afterAutospacing="1"/>
    </w:pPr>
    <w:rPr>
      <w:rFonts w:eastAsia="Times New Roman" w:cs="Times New Roman"/>
      <w:color w:val="000000"/>
      <w:szCs w:val="24"/>
      <w:lang w:eastAsia="lv-LV"/>
    </w:rPr>
  </w:style>
  <w:style w:type="character" w:customStyle="1" w:styleId="phrase">
    <w:name w:val="phrase"/>
    <w:basedOn w:val="DefaultParagraphFont"/>
    <w:rsid w:val="003E311F"/>
  </w:style>
  <w:style w:type="character" w:customStyle="1" w:styleId="word">
    <w:name w:val="word"/>
    <w:basedOn w:val="DefaultParagraphFont"/>
    <w:rsid w:val="003E311F"/>
  </w:style>
  <w:style w:type="character" w:customStyle="1" w:styleId="linktoother">
    <w:name w:val="linktoother"/>
    <w:basedOn w:val="DefaultParagraphFont"/>
    <w:rsid w:val="003E311F"/>
  </w:style>
  <w:style w:type="paragraph" w:styleId="BalloonText">
    <w:name w:val="Balloon Text"/>
    <w:basedOn w:val="Normal"/>
    <w:link w:val="BalloonTextChar"/>
    <w:uiPriority w:val="99"/>
    <w:semiHidden/>
    <w:unhideWhenUsed/>
    <w:rsid w:val="00804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1FE"/>
    <w:rPr>
      <w:rFonts w:ascii="Segoe UI" w:hAnsi="Segoe UI" w:cs="Segoe UI"/>
      <w:sz w:val="18"/>
      <w:szCs w:val="18"/>
    </w:rPr>
  </w:style>
  <w:style w:type="paragraph" w:styleId="Header">
    <w:name w:val="header"/>
    <w:basedOn w:val="Normal"/>
    <w:link w:val="HeaderChar"/>
    <w:uiPriority w:val="99"/>
    <w:unhideWhenUsed/>
    <w:rsid w:val="00FF4C9F"/>
    <w:pPr>
      <w:tabs>
        <w:tab w:val="center" w:pos="4153"/>
        <w:tab w:val="right" w:pos="8306"/>
      </w:tabs>
    </w:pPr>
  </w:style>
  <w:style w:type="character" w:customStyle="1" w:styleId="HeaderChar">
    <w:name w:val="Header Char"/>
    <w:basedOn w:val="DefaultParagraphFont"/>
    <w:link w:val="Header"/>
    <w:uiPriority w:val="99"/>
    <w:rsid w:val="00FF4C9F"/>
  </w:style>
  <w:style w:type="paragraph" w:styleId="Footer">
    <w:name w:val="footer"/>
    <w:basedOn w:val="Normal"/>
    <w:link w:val="FooterChar"/>
    <w:uiPriority w:val="99"/>
    <w:unhideWhenUsed/>
    <w:rsid w:val="00FF4C9F"/>
    <w:pPr>
      <w:tabs>
        <w:tab w:val="center" w:pos="4153"/>
        <w:tab w:val="right" w:pos="8306"/>
      </w:tabs>
    </w:pPr>
  </w:style>
  <w:style w:type="character" w:customStyle="1" w:styleId="FooterChar">
    <w:name w:val="Footer Char"/>
    <w:basedOn w:val="DefaultParagraphFont"/>
    <w:link w:val="Footer"/>
    <w:uiPriority w:val="99"/>
    <w:rsid w:val="00FF4C9F"/>
  </w:style>
  <w:style w:type="character" w:styleId="CommentReference">
    <w:name w:val="annotation reference"/>
    <w:basedOn w:val="DefaultParagraphFont"/>
    <w:uiPriority w:val="99"/>
    <w:semiHidden/>
    <w:unhideWhenUsed/>
    <w:rsid w:val="00EC5077"/>
    <w:rPr>
      <w:sz w:val="16"/>
      <w:szCs w:val="16"/>
    </w:rPr>
  </w:style>
  <w:style w:type="paragraph" w:styleId="CommentText">
    <w:name w:val="annotation text"/>
    <w:basedOn w:val="Normal"/>
    <w:link w:val="CommentTextChar"/>
    <w:uiPriority w:val="99"/>
    <w:semiHidden/>
    <w:unhideWhenUsed/>
    <w:rsid w:val="00EC5077"/>
    <w:rPr>
      <w:sz w:val="20"/>
      <w:szCs w:val="20"/>
    </w:rPr>
  </w:style>
  <w:style w:type="character" w:customStyle="1" w:styleId="CommentTextChar">
    <w:name w:val="Comment Text Char"/>
    <w:basedOn w:val="DefaultParagraphFont"/>
    <w:link w:val="CommentText"/>
    <w:uiPriority w:val="99"/>
    <w:semiHidden/>
    <w:rsid w:val="00EC5077"/>
    <w:rPr>
      <w:sz w:val="20"/>
      <w:szCs w:val="20"/>
    </w:rPr>
  </w:style>
  <w:style w:type="paragraph" w:styleId="CommentSubject">
    <w:name w:val="annotation subject"/>
    <w:basedOn w:val="CommentText"/>
    <w:next w:val="CommentText"/>
    <w:link w:val="CommentSubjectChar"/>
    <w:uiPriority w:val="99"/>
    <w:semiHidden/>
    <w:unhideWhenUsed/>
    <w:rsid w:val="00EC5077"/>
    <w:rPr>
      <w:b/>
      <w:bCs/>
    </w:rPr>
  </w:style>
  <w:style w:type="character" w:customStyle="1" w:styleId="CommentSubjectChar">
    <w:name w:val="Comment Subject Char"/>
    <w:basedOn w:val="CommentTextChar"/>
    <w:link w:val="CommentSubject"/>
    <w:uiPriority w:val="99"/>
    <w:semiHidden/>
    <w:rsid w:val="00EC5077"/>
    <w:rPr>
      <w:b/>
      <w:bCs/>
      <w:sz w:val="20"/>
      <w:szCs w:val="20"/>
    </w:rPr>
  </w:style>
  <w:style w:type="paragraph" w:styleId="Revision">
    <w:name w:val="Revision"/>
    <w:hidden/>
    <w:uiPriority w:val="99"/>
    <w:semiHidden/>
    <w:rsid w:val="0027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20332">
      <w:bodyDiv w:val="1"/>
      <w:marLeft w:val="0"/>
      <w:marRight w:val="0"/>
      <w:marTop w:val="0"/>
      <w:marBottom w:val="0"/>
      <w:divBdr>
        <w:top w:val="none" w:sz="0" w:space="0" w:color="auto"/>
        <w:left w:val="none" w:sz="0" w:space="0" w:color="auto"/>
        <w:bottom w:val="none" w:sz="0" w:space="0" w:color="auto"/>
        <w:right w:val="none" w:sz="0" w:space="0" w:color="auto"/>
      </w:divBdr>
      <w:divsChild>
        <w:div w:id="1778791164">
          <w:marLeft w:val="0"/>
          <w:marRight w:val="0"/>
          <w:marTop w:val="0"/>
          <w:marBottom w:val="0"/>
          <w:divBdr>
            <w:top w:val="none" w:sz="0" w:space="0" w:color="auto"/>
            <w:left w:val="none" w:sz="0" w:space="0" w:color="auto"/>
            <w:bottom w:val="none" w:sz="0" w:space="0" w:color="auto"/>
            <w:right w:val="none" w:sz="0" w:space="0" w:color="auto"/>
          </w:divBdr>
          <w:divsChild>
            <w:div w:id="1843004375">
              <w:marLeft w:val="0"/>
              <w:marRight w:val="0"/>
              <w:marTop w:val="0"/>
              <w:marBottom w:val="0"/>
              <w:divBdr>
                <w:top w:val="none" w:sz="0" w:space="0" w:color="auto"/>
                <w:left w:val="none" w:sz="0" w:space="0" w:color="auto"/>
                <w:bottom w:val="none" w:sz="0" w:space="0" w:color="auto"/>
                <w:right w:val="none" w:sz="0" w:space="0" w:color="auto"/>
              </w:divBdr>
              <w:divsChild>
                <w:div w:id="718434702">
                  <w:marLeft w:val="0"/>
                  <w:marRight w:val="0"/>
                  <w:marTop w:val="0"/>
                  <w:marBottom w:val="0"/>
                  <w:divBdr>
                    <w:top w:val="none" w:sz="0" w:space="0" w:color="auto"/>
                    <w:left w:val="none" w:sz="0" w:space="0" w:color="auto"/>
                    <w:bottom w:val="none" w:sz="0" w:space="0" w:color="auto"/>
                    <w:right w:val="none" w:sz="0" w:space="0" w:color="auto"/>
                  </w:divBdr>
                  <w:divsChild>
                    <w:div w:id="705764365">
                      <w:marLeft w:val="0"/>
                      <w:marRight w:val="0"/>
                      <w:marTop w:val="0"/>
                      <w:marBottom w:val="0"/>
                      <w:divBdr>
                        <w:top w:val="none" w:sz="0" w:space="0" w:color="auto"/>
                        <w:left w:val="none" w:sz="0" w:space="0" w:color="auto"/>
                        <w:bottom w:val="none" w:sz="0" w:space="0" w:color="auto"/>
                        <w:right w:val="none" w:sz="0" w:space="0" w:color="auto"/>
                      </w:divBdr>
                      <w:divsChild>
                        <w:div w:id="1978416197">
                          <w:marLeft w:val="83"/>
                          <w:marRight w:val="0"/>
                          <w:marTop w:val="0"/>
                          <w:marBottom w:val="0"/>
                          <w:divBdr>
                            <w:top w:val="single" w:sz="6" w:space="0" w:color="EBEBEB"/>
                            <w:left w:val="single" w:sz="6" w:space="0" w:color="EBEBEB"/>
                            <w:bottom w:val="single" w:sz="6" w:space="0" w:color="EBEBEB"/>
                            <w:right w:val="single" w:sz="6" w:space="0" w:color="EBEBEB"/>
                          </w:divBdr>
                          <w:divsChild>
                            <w:div w:id="7712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518961">
      <w:bodyDiv w:val="1"/>
      <w:marLeft w:val="0"/>
      <w:marRight w:val="0"/>
      <w:marTop w:val="0"/>
      <w:marBottom w:val="0"/>
      <w:divBdr>
        <w:top w:val="none" w:sz="0" w:space="0" w:color="auto"/>
        <w:left w:val="none" w:sz="0" w:space="0" w:color="auto"/>
        <w:bottom w:val="none" w:sz="0" w:space="0" w:color="auto"/>
        <w:right w:val="none" w:sz="0" w:space="0" w:color="auto"/>
      </w:divBdr>
      <w:divsChild>
        <w:div w:id="1405254402">
          <w:marLeft w:val="0"/>
          <w:marRight w:val="0"/>
          <w:marTop w:val="0"/>
          <w:marBottom w:val="0"/>
          <w:divBdr>
            <w:top w:val="none" w:sz="0" w:space="0" w:color="auto"/>
            <w:left w:val="none" w:sz="0" w:space="0" w:color="auto"/>
            <w:bottom w:val="none" w:sz="0" w:space="0" w:color="auto"/>
            <w:right w:val="none" w:sz="0" w:space="0" w:color="auto"/>
          </w:divBdr>
          <w:divsChild>
            <w:div w:id="444425242">
              <w:marLeft w:val="0"/>
              <w:marRight w:val="0"/>
              <w:marTop w:val="0"/>
              <w:marBottom w:val="0"/>
              <w:divBdr>
                <w:top w:val="none" w:sz="0" w:space="0" w:color="auto"/>
                <w:left w:val="none" w:sz="0" w:space="0" w:color="auto"/>
                <w:bottom w:val="none" w:sz="0" w:space="0" w:color="auto"/>
                <w:right w:val="none" w:sz="0" w:space="0" w:color="auto"/>
              </w:divBdr>
              <w:divsChild>
                <w:div w:id="72701095">
                  <w:marLeft w:val="0"/>
                  <w:marRight w:val="0"/>
                  <w:marTop w:val="0"/>
                  <w:marBottom w:val="0"/>
                  <w:divBdr>
                    <w:top w:val="none" w:sz="0" w:space="0" w:color="auto"/>
                    <w:left w:val="none" w:sz="0" w:space="0" w:color="auto"/>
                    <w:bottom w:val="none" w:sz="0" w:space="0" w:color="auto"/>
                    <w:right w:val="none" w:sz="0" w:space="0" w:color="auto"/>
                  </w:divBdr>
                  <w:divsChild>
                    <w:div w:id="752552307">
                      <w:marLeft w:val="0"/>
                      <w:marRight w:val="0"/>
                      <w:marTop w:val="0"/>
                      <w:marBottom w:val="0"/>
                      <w:divBdr>
                        <w:top w:val="none" w:sz="0" w:space="0" w:color="auto"/>
                        <w:left w:val="none" w:sz="0" w:space="0" w:color="auto"/>
                        <w:bottom w:val="none" w:sz="0" w:space="0" w:color="auto"/>
                        <w:right w:val="none" w:sz="0" w:space="0" w:color="auto"/>
                      </w:divBdr>
                      <w:divsChild>
                        <w:div w:id="390034468">
                          <w:marLeft w:val="83"/>
                          <w:marRight w:val="0"/>
                          <w:marTop w:val="0"/>
                          <w:marBottom w:val="0"/>
                          <w:divBdr>
                            <w:top w:val="single" w:sz="6" w:space="0" w:color="EBEBEB"/>
                            <w:left w:val="single" w:sz="6" w:space="0" w:color="EBEBEB"/>
                            <w:bottom w:val="single" w:sz="6" w:space="0" w:color="EBEBEB"/>
                            <w:right w:val="single" w:sz="6" w:space="0" w:color="EBEBEB"/>
                          </w:divBdr>
                          <w:divsChild>
                            <w:div w:id="1690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2434">
      <w:bodyDiv w:val="1"/>
      <w:marLeft w:val="0"/>
      <w:marRight w:val="0"/>
      <w:marTop w:val="0"/>
      <w:marBottom w:val="0"/>
      <w:divBdr>
        <w:top w:val="none" w:sz="0" w:space="0" w:color="auto"/>
        <w:left w:val="none" w:sz="0" w:space="0" w:color="auto"/>
        <w:bottom w:val="none" w:sz="0" w:space="0" w:color="auto"/>
        <w:right w:val="none" w:sz="0" w:space="0" w:color="auto"/>
      </w:divBdr>
      <w:divsChild>
        <w:div w:id="1448549252">
          <w:marLeft w:val="0"/>
          <w:marRight w:val="0"/>
          <w:marTop w:val="0"/>
          <w:marBottom w:val="0"/>
          <w:divBdr>
            <w:top w:val="none" w:sz="0" w:space="0" w:color="auto"/>
            <w:left w:val="none" w:sz="0" w:space="0" w:color="auto"/>
            <w:bottom w:val="none" w:sz="0" w:space="0" w:color="auto"/>
            <w:right w:val="none" w:sz="0" w:space="0" w:color="auto"/>
          </w:divBdr>
          <w:divsChild>
            <w:div w:id="1563827344">
              <w:marLeft w:val="0"/>
              <w:marRight w:val="0"/>
              <w:marTop w:val="0"/>
              <w:marBottom w:val="0"/>
              <w:divBdr>
                <w:top w:val="none" w:sz="0" w:space="0" w:color="auto"/>
                <w:left w:val="none" w:sz="0" w:space="0" w:color="auto"/>
                <w:bottom w:val="none" w:sz="0" w:space="0" w:color="auto"/>
                <w:right w:val="none" w:sz="0" w:space="0" w:color="auto"/>
              </w:divBdr>
              <w:divsChild>
                <w:div w:id="1072123051">
                  <w:marLeft w:val="0"/>
                  <w:marRight w:val="0"/>
                  <w:marTop w:val="0"/>
                  <w:marBottom w:val="0"/>
                  <w:divBdr>
                    <w:top w:val="none" w:sz="0" w:space="0" w:color="auto"/>
                    <w:left w:val="none" w:sz="0" w:space="0" w:color="auto"/>
                    <w:bottom w:val="none" w:sz="0" w:space="0" w:color="auto"/>
                    <w:right w:val="none" w:sz="0" w:space="0" w:color="auto"/>
                  </w:divBdr>
                  <w:divsChild>
                    <w:div w:id="1051421675">
                      <w:marLeft w:val="0"/>
                      <w:marRight w:val="0"/>
                      <w:marTop w:val="0"/>
                      <w:marBottom w:val="0"/>
                      <w:divBdr>
                        <w:top w:val="none" w:sz="0" w:space="0" w:color="auto"/>
                        <w:left w:val="none" w:sz="0" w:space="0" w:color="auto"/>
                        <w:bottom w:val="none" w:sz="0" w:space="0" w:color="auto"/>
                        <w:right w:val="none" w:sz="0" w:space="0" w:color="auto"/>
                      </w:divBdr>
                      <w:divsChild>
                        <w:div w:id="708837888">
                          <w:marLeft w:val="0"/>
                          <w:marRight w:val="0"/>
                          <w:marTop w:val="0"/>
                          <w:marBottom w:val="0"/>
                          <w:divBdr>
                            <w:top w:val="none" w:sz="0" w:space="0" w:color="auto"/>
                            <w:left w:val="none" w:sz="0" w:space="0" w:color="auto"/>
                            <w:bottom w:val="none" w:sz="0" w:space="0" w:color="auto"/>
                            <w:right w:val="none" w:sz="0" w:space="0" w:color="auto"/>
                          </w:divBdr>
                          <w:divsChild>
                            <w:div w:id="788208990">
                              <w:marLeft w:val="150"/>
                              <w:marRight w:val="150"/>
                              <w:marTop w:val="480"/>
                              <w:marBottom w:val="0"/>
                              <w:divBdr>
                                <w:top w:val="none" w:sz="0" w:space="0" w:color="auto"/>
                                <w:left w:val="none" w:sz="0" w:space="0" w:color="auto"/>
                                <w:bottom w:val="none" w:sz="0" w:space="0" w:color="auto"/>
                                <w:right w:val="none" w:sz="0" w:space="0" w:color="auto"/>
                              </w:divBdr>
                              <w:divsChild>
                                <w:div w:id="165440798">
                                  <w:marLeft w:val="0"/>
                                  <w:marRight w:val="0"/>
                                  <w:marTop w:val="0"/>
                                  <w:marBottom w:val="0"/>
                                  <w:divBdr>
                                    <w:top w:val="none" w:sz="0" w:space="0" w:color="auto"/>
                                    <w:left w:val="none" w:sz="0" w:space="0" w:color="auto"/>
                                    <w:bottom w:val="none" w:sz="0" w:space="0" w:color="auto"/>
                                    <w:right w:val="none" w:sz="0" w:space="0" w:color="auto"/>
                                  </w:divBdr>
                                  <w:divsChild>
                                    <w:div w:id="1679772076">
                                      <w:marLeft w:val="0"/>
                                      <w:marRight w:val="0"/>
                                      <w:marTop w:val="0"/>
                                      <w:marBottom w:val="0"/>
                                      <w:divBdr>
                                        <w:top w:val="none" w:sz="0" w:space="0" w:color="auto"/>
                                        <w:left w:val="none" w:sz="0" w:space="0" w:color="auto"/>
                                        <w:bottom w:val="none" w:sz="0" w:space="0" w:color="auto"/>
                                        <w:right w:val="none" w:sz="0" w:space="0" w:color="auto"/>
                                      </w:divBdr>
                                      <w:divsChild>
                                        <w:div w:id="1765955545">
                                          <w:marLeft w:val="0"/>
                                          <w:marRight w:val="0"/>
                                          <w:marTop w:val="0"/>
                                          <w:marBottom w:val="0"/>
                                          <w:divBdr>
                                            <w:top w:val="none" w:sz="0" w:space="0" w:color="auto"/>
                                            <w:left w:val="none" w:sz="0" w:space="0" w:color="auto"/>
                                            <w:bottom w:val="none" w:sz="0" w:space="0" w:color="auto"/>
                                            <w:right w:val="none" w:sz="0" w:space="0" w:color="auto"/>
                                          </w:divBdr>
                                        </w:div>
                                        <w:div w:id="11375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225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943325">
      <w:bodyDiv w:val="1"/>
      <w:marLeft w:val="0"/>
      <w:marRight w:val="0"/>
      <w:marTop w:val="0"/>
      <w:marBottom w:val="0"/>
      <w:divBdr>
        <w:top w:val="none" w:sz="0" w:space="0" w:color="auto"/>
        <w:left w:val="none" w:sz="0" w:space="0" w:color="auto"/>
        <w:bottom w:val="none" w:sz="0" w:space="0" w:color="auto"/>
        <w:right w:val="none" w:sz="0" w:space="0" w:color="auto"/>
      </w:divBdr>
      <w:divsChild>
        <w:div w:id="1740132919">
          <w:marLeft w:val="0"/>
          <w:marRight w:val="0"/>
          <w:marTop w:val="0"/>
          <w:marBottom w:val="0"/>
          <w:divBdr>
            <w:top w:val="none" w:sz="0" w:space="0" w:color="auto"/>
            <w:left w:val="none" w:sz="0" w:space="0" w:color="auto"/>
            <w:bottom w:val="none" w:sz="0" w:space="0" w:color="auto"/>
            <w:right w:val="none" w:sz="0" w:space="0" w:color="auto"/>
          </w:divBdr>
          <w:divsChild>
            <w:div w:id="1945729656">
              <w:marLeft w:val="0"/>
              <w:marRight w:val="0"/>
              <w:marTop w:val="0"/>
              <w:marBottom w:val="0"/>
              <w:divBdr>
                <w:top w:val="none" w:sz="0" w:space="0" w:color="auto"/>
                <w:left w:val="none" w:sz="0" w:space="0" w:color="auto"/>
                <w:bottom w:val="none" w:sz="0" w:space="0" w:color="auto"/>
                <w:right w:val="none" w:sz="0" w:space="0" w:color="auto"/>
              </w:divBdr>
              <w:divsChild>
                <w:div w:id="1264149537">
                  <w:marLeft w:val="0"/>
                  <w:marRight w:val="0"/>
                  <w:marTop w:val="0"/>
                  <w:marBottom w:val="0"/>
                  <w:divBdr>
                    <w:top w:val="none" w:sz="0" w:space="0" w:color="auto"/>
                    <w:left w:val="none" w:sz="0" w:space="0" w:color="auto"/>
                    <w:bottom w:val="none" w:sz="0" w:space="0" w:color="auto"/>
                    <w:right w:val="none" w:sz="0" w:space="0" w:color="auto"/>
                  </w:divBdr>
                  <w:divsChild>
                    <w:div w:id="1619139021">
                      <w:marLeft w:val="0"/>
                      <w:marRight w:val="0"/>
                      <w:marTop w:val="0"/>
                      <w:marBottom w:val="0"/>
                      <w:divBdr>
                        <w:top w:val="none" w:sz="0" w:space="0" w:color="auto"/>
                        <w:left w:val="none" w:sz="0" w:space="0" w:color="auto"/>
                        <w:bottom w:val="none" w:sz="0" w:space="0" w:color="auto"/>
                        <w:right w:val="none" w:sz="0" w:space="0" w:color="auto"/>
                      </w:divBdr>
                      <w:divsChild>
                        <w:div w:id="1877305113">
                          <w:marLeft w:val="83"/>
                          <w:marRight w:val="0"/>
                          <w:marTop w:val="0"/>
                          <w:marBottom w:val="0"/>
                          <w:divBdr>
                            <w:top w:val="single" w:sz="6" w:space="0" w:color="EBEBEB"/>
                            <w:left w:val="single" w:sz="6" w:space="0" w:color="EBEBEB"/>
                            <w:bottom w:val="single" w:sz="6" w:space="0" w:color="EBEBEB"/>
                            <w:right w:val="single" w:sz="6" w:space="0" w:color="EBEBEB"/>
                          </w:divBdr>
                          <w:divsChild>
                            <w:div w:id="6040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888">
      <w:bodyDiv w:val="1"/>
      <w:marLeft w:val="0"/>
      <w:marRight w:val="0"/>
      <w:marTop w:val="0"/>
      <w:marBottom w:val="0"/>
      <w:divBdr>
        <w:top w:val="none" w:sz="0" w:space="0" w:color="auto"/>
        <w:left w:val="none" w:sz="0" w:space="0" w:color="auto"/>
        <w:bottom w:val="none" w:sz="0" w:space="0" w:color="auto"/>
        <w:right w:val="none" w:sz="0" w:space="0" w:color="auto"/>
      </w:divBdr>
      <w:divsChild>
        <w:div w:id="844318616">
          <w:marLeft w:val="0"/>
          <w:marRight w:val="0"/>
          <w:marTop w:val="0"/>
          <w:marBottom w:val="0"/>
          <w:divBdr>
            <w:top w:val="none" w:sz="0" w:space="0" w:color="auto"/>
            <w:left w:val="none" w:sz="0" w:space="0" w:color="auto"/>
            <w:bottom w:val="none" w:sz="0" w:space="0" w:color="auto"/>
            <w:right w:val="none" w:sz="0" w:space="0" w:color="auto"/>
          </w:divBdr>
          <w:divsChild>
            <w:div w:id="1729264923">
              <w:marLeft w:val="0"/>
              <w:marRight w:val="0"/>
              <w:marTop w:val="0"/>
              <w:marBottom w:val="0"/>
              <w:divBdr>
                <w:top w:val="none" w:sz="0" w:space="0" w:color="auto"/>
                <w:left w:val="none" w:sz="0" w:space="0" w:color="auto"/>
                <w:bottom w:val="none" w:sz="0" w:space="0" w:color="auto"/>
                <w:right w:val="none" w:sz="0" w:space="0" w:color="auto"/>
              </w:divBdr>
              <w:divsChild>
                <w:div w:id="1153567337">
                  <w:marLeft w:val="0"/>
                  <w:marRight w:val="0"/>
                  <w:marTop w:val="0"/>
                  <w:marBottom w:val="0"/>
                  <w:divBdr>
                    <w:top w:val="none" w:sz="0" w:space="0" w:color="auto"/>
                    <w:left w:val="none" w:sz="0" w:space="0" w:color="auto"/>
                    <w:bottom w:val="none" w:sz="0" w:space="0" w:color="auto"/>
                    <w:right w:val="none" w:sz="0" w:space="0" w:color="auto"/>
                  </w:divBdr>
                  <w:divsChild>
                    <w:div w:id="2091004760">
                      <w:marLeft w:val="0"/>
                      <w:marRight w:val="0"/>
                      <w:marTop w:val="0"/>
                      <w:marBottom w:val="0"/>
                      <w:divBdr>
                        <w:top w:val="none" w:sz="0" w:space="0" w:color="auto"/>
                        <w:left w:val="none" w:sz="0" w:space="0" w:color="auto"/>
                        <w:bottom w:val="none" w:sz="0" w:space="0" w:color="auto"/>
                        <w:right w:val="none" w:sz="0" w:space="0" w:color="auto"/>
                      </w:divBdr>
                      <w:divsChild>
                        <w:div w:id="1749040579">
                          <w:marLeft w:val="83"/>
                          <w:marRight w:val="0"/>
                          <w:marTop w:val="0"/>
                          <w:marBottom w:val="0"/>
                          <w:divBdr>
                            <w:top w:val="single" w:sz="6" w:space="0" w:color="EBEBEB"/>
                            <w:left w:val="single" w:sz="6" w:space="0" w:color="EBEBEB"/>
                            <w:bottom w:val="single" w:sz="6" w:space="0" w:color="EBEBEB"/>
                            <w:right w:val="single" w:sz="6" w:space="0" w:color="EBEBEB"/>
                          </w:divBdr>
                          <w:divsChild>
                            <w:div w:id="7515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36946">
      <w:bodyDiv w:val="1"/>
      <w:marLeft w:val="0"/>
      <w:marRight w:val="0"/>
      <w:marTop w:val="0"/>
      <w:marBottom w:val="0"/>
      <w:divBdr>
        <w:top w:val="none" w:sz="0" w:space="0" w:color="auto"/>
        <w:left w:val="none" w:sz="0" w:space="0" w:color="auto"/>
        <w:bottom w:val="none" w:sz="0" w:space="0" w:color="auto"/>
        <w:right w:val="none" w:sz="0" w:space="0" w:color="auto"/>
      </w:divBdr>
      <w:divsChild>
        <w:div w:id="269971518">
          <w:marLeft w:val="0"/>
          <w:marRight w:val="0"/>
          <w:marTop w:val="0"/>
          <w:marBottom w:val="0"/>
          <w:divBdr>
            <w:top w:val="none" w:sz="0" w:space="0" w:color="auto"/>
            <w:left w:val="none" w:sz="0" w:space="0" w:color="auto"/>
            <w:bottom w:val="none" w:sz="0" w:space="0" w:color="auto"/>
            <w:right w:val="none" w:sz="0" w:space="0" w:color="auto"/>
          </w:divBdr>
          <w:divsChild>
            <w:div w:id="465969672">
              <w:marLeft w:val="0"/>
              <w:marRight w:val="0"/>
              <w:marTop w:val="0"/>
              <w:marBottom w:val="0"/>
              <w:divBdr>
                <w:top w:val="none" w:sz="0" w:space="0" w:color="auto"/>
                <w:left w:val="none" w:sz="0" w:space="0" w:color="auto"/>
                <w:bottom w:val="none" w:sz="0" w:space="0" w:color="auto"/>
                <w:right w:val="none" w:sz="0" w:space="0" w:color="auto"/>
              </w:divBdr>
              <w:divsChild>
                <w:div w:id="124085926">
                  <w:marLeft w:val="0"/>
                  <w:marRight w:val="0"/>
                  <w:marTop w:val="0"/>
                  <w:marBottom w:val="0"/>
                  <w:divBdr>
                    <w:top w:val="none" w:sz="0" w:space="0" w:color="auto"/>
                    <w:left w:val="none" w:sz="0" w:space="0" w:color="auto"/>
                    <w:bottom w:val="none" w:sz="0" w:space="0" w:color="auto"/>
                    <w:right w:val="none" w:sz="0" w:space="0" w:color="auto"/>
                  </w:divBdr>
                  <w:divsChild>
                    <w:div w:id="2080009290">
                      <w:marLeft w:val="0"/>
                      <w:marRight w:val="0"/>
                      <w:marTop w:val="0"/>
                      <w:marBottom w:val="0"/>
                      <w:divBdr>
                        <w:top w:val="none" w:sz="0" w:space="0" w:color="auto"/>
                        <w:left w:val="none" w:sz="0" w:space="0" w:color="auto"/>
                        <w:bottom w:val="none" w:sz="0" w:space="0" w:color="auto"/>
                        <w:right w:val="none" w:sz="0" w:space="0" w:color="auto"/>
                      </w:divBdr>
                      <w:divsChild>
                        <w:div w:id="297345773">
                          <w:marLeft w:val="83"/>
                          <w:marRight w:val="0"/>
                          <w:marTop w:val="0"/>
                          <w:marBottom w:val="0"/>
                          <w:divBdr>
                            <w:top w:val="single" w:sz="6" w:space="0" w:color="EBEBEB"/>
                            <w:left w:val="single" w:sz="6" w:space="0" w:color="EBEBEB"/>
                            <w:bottom w:val="single" w:sz="6" w:space="0" w:color="EBEBEB"/>
                            <w:right w:val="single" w:sz="6" w:space="0" w:color="EBEBEB"/>
                          </w:divBdr>
                          <w:divsChild>
                            <w:div w:id="8736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08026">
      <w:bodyDiv w:val="1"/>
      <w:marLeft w:val="0"/>
      <w:marRight w:val="0"/>
      <w:marTop w:val="0"/>
      <w:marBottom w:val="0"/>
      <w:divBdr>
        <w:top w:val="none" w:sz="0" w:space="0" w:color="auto"/>
        <w:left w:val="none" w:sz="0" w:space="0" w:color="auto"/>
        <w:bottom w:val="none" w:sz="0" w:space="0" w:color="auto"/>
        <w:right w:val="none" w:sz="0" w:space="0" w:color="auto"/>
      </w:divBdr>
      <w:divsChild>
        <w:div w:id="245770988">
          <w:marLeft w:val="0"/>
          <w:marRight w:val="0"/>
          <w:marTop w:val="0"/>
          <w:marBottom w:val="0"/>
          <w:divBdr>
            <w:top w:val="none" w:sz="0" w:space="0" w:color="auto"/>
            <w:left w:val="none" w:sz="0" w:space="0" w:color="auto"/>
            <w:bottom w:val="none" w:sz="0" w:space="0" w:color="auto"/>
            <w:right w:val="none" w:sz="0" w:space="0" w:color="auto"/>
          </w:divBdr>
          <w:divsChild>
            <w:div w:id="944774493">
              <w:marLeft w:val="0"/>
              <w:marRight w:val="0"/>
              <w:marTop w:val="0"/>
              <w:marBottom w:val="0"/>
              <w:divBdr>
                <w:top w:val="none" w:sz="0" w:space="0" w:color="auto"/>
                <w:left w:val="none" w:sz="0" w:space="0" w:color="auto"/>
                <w:bottom w:val="none" w:sz="0" w:space="0" w:color="auto"/>
                <w:right w:val="none" w:sz="0" w:space="0" w:color="auto"/>
              </w:divBdr>
              <w:divsChild>
                <w:div w:id="12734201">
                  <w:marLeft w:val="0"/>
                  <w:marRight w:val="0"/>
                  <w:marTop w:val="0"/>
                  <w:marBottom w:val="0"/>
                  <w:divBdr>
                    <w:top w:val="none" w:sz="0" w:space="0" w:color="auto"/>
                    <w:left w:val="none" w:sz="0" w:space="0" w:color="auto"/>
                    <w:bottom w:val="none" w:sz="0" w:space="0" w:color="auto"/>
                    <w:right w:val="none" w:sz="0" w:space="0" w:color="auto"/>
                  </w:divBdr>
                  <w:divsChild>
                    <w:div w:id="780953751">
                      <w:marLeft w:val="0"/>
                      <w:marRight w:val="0"/>
                      <w:marTop w:val="0"/>
                      <w:marBottom w:val="0"/>
                      <w:divBdr>
                        <w:top w:val="none" w:sz="0" w:space="0" w:color="auto"/>
                        <w:left w:val="none" w:sz="0" w:space="0" w:color="auto"/>
                        <w:bottom w:val="none" w:sz="0" w:space="0" w:color="auto"/>
                        <w:right w:val="none" w:sz="0" w:space="0" w:color="auto"/>
                      </w:divBdr>
                      <w:divsChild>
                        <w:div w:id="1639333753">
                          <w:marLeft w:val="83"/>
                          <w:marRight w:val="0"/>
                          <w:marTop w:val="0"/>
                          <w:marBottom w:val="0"/>
                          <w:divBdr>
                            <w:top w:val="single" w:sz="6" w:space="0" w:color="EBEBEB"/>
                            <w:left w:val="single" w:sz="6" w:space="0" w:color="EBEBEB"/>
                            <w:bottom w:val="single" w:sz="6" w:space="0" w:color="EBEBEB"/>
                            <w:right w:val="single" w:sz="6" w:space="0" w:color="EBEBEB"/>
                          </w:divBdr>
                          <w:divsChild>
                            <w:div w:id="18930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432571">
      <w:bodyDiv w:val="1"/>
      <w:marLeft w:val="0"/>
      <w:marRight w:val="0"/>
      <w:marTop w:val="0"/>
      <w:marBottom w:val="0"/>
      <w:divBdr>
        <w:top w:val="none" w:sz="0" w:space="0" w:color="auto"/>
        <w:left w:val="none" w:sz="0" w:space="0" w:color="auto"/>
        <w:bottom w:val="none" w:sz="0" w:space="0" w:color="auto"/>
        <w:right w:val="none" w:sz="0" w:space="0" w:color="auto"/>
      </w:divBdr>
      <w:divsChild>
        <w:div w:id="749959198">
          <w:marLeft w:val="0"/>
          <w:marRight w:val="0"/>
          <w:marTop w:val="0"/>
          <w:marBottom w:val="0"/>
          <w:divBdr>
            <w:top w:val="none" w:sz="0" w:space="0" w:color="auto"/>
            <w:left w:val="none" w:sz="0" w:space="0" w:color="auto"/>
            <w:bottom w:val="none" w:sz="0" w:space="0" w:color="auto"/>
            <w:right w:val="none" w:sz="0" w:space="0" w:color="auto"/>
          </w:divBdr>
          <w:divsChild>
            <w:div w:id="946423120">
              <w:marLeft w:val="0"/>
              <w:marRight w:val="0"/>
              <w:marTop w:val="0"/>
              <w:marBottom w:val="0"/>
              <w:divBdr>
                <w:top w:val="none" w:sz="0" w:space="0" w:color="auto"/>
                <w:left w:val="none" w:sz="0" w:space="0" w:color="auto"/>
                <w:bottom w:val="none" w:sz="0" w:space="0" w:color="auto"/>
                <w:right w:val="none" w:sz="0" w:space="0" w:color="auto"/>
              </w:divBdr>
              <w:divsChild>
                <w:div w:id="671683410">
                  <w:marLeft w:val="0"/>
                  <w:marRight w:val="0"/>
                  <w:marTop w:val="0"/>
                  <w:marBottom w:val="0"/>
                  <w:divBdr>
                    <w:top w:val="none" w:sz="0" w:space="0" w:color="auto"/>
                    <w:left w:val="none" w:sz="0" w:space="0" w:color="auto"/>
                    <w:bottom w:val="none" w:sz="0" w:space="0" w:color="auto"/>
                    <w:right w:val="none" w:sz="0" w:space="0" w:color="auto"/>
                  </w:divBdr>
                  <w:divsChild>
                    <w:div w:id="1305887042">
                      <w:marLeft w:val="0"/>
                      <w:marRight w:val="0"/>
                      <w:marTop w:val="0"/>
                      <w:marBottom w:val="0"/>
                      <w:divBdr>
                        <w:top w:val="none" w:sz="0" w:space="0" w:color="auto"/>
                        <w:left w:val="none" w:sz="0" w:space="0" w:color="auto"/>
                        <w:bottom w:val="none" w:sz="0" w:space="0" w:color="auto"/>
                        <w:right w:val="none" w:sz="0" w:space="0" w:color="auto"/>
                      </w:divBdr>
                      <w:divsChild>
                        <w:div w:id="571356930">
                          <w:marLeft w:val="0"/>
                          <w:marRight w:val="0"/>
                          <w:marTop w:val="0"/>
                          <w:marBottom w:val="0"/>
                          <w:divBdr>
                            <w:top w:val="none" w:sz="0" w:space="0" w:color="auto"/>
                            <w:left w:val="none" w:sz="0" w:space="0" w:color="auto"/>
                            <w:bottom w:val="none" w:sz="0" w:space="0" w:color="auto"/>
                            <w:right w:val="none" w:sz="0" w:space="0" w:color="auto"/>
                          </w:divBdr>
                          <w:divsChild>
                            <w:div w:id="972370348">
                              <w:marLeft w:val="0"/>
                              <w:marRight w:val="0"/>
                              <w:marTop w:val="0"/>
                              <w:marBottom w:val="0"/>
                              <w:divBdr>
                                <w:top w:val="none" w:sz="0" w:space="0" w:color="auto"/>
                                <w:left w:val="none" w:sz="0" w:space="0" w:color="auto"/>
                                <w:bottom w:val="none" w:sz="0" w:space="0" w:color="auto"/>
                                <w:right w:val="none" w:sz="0" w:space="0" w:color="auto"/>
                              </w:divBdr>
                              <w:divsChild>
                                <w:div w:id="478612149">
                                  <w:marLeft w:val="0"/>
                                  <w:marRight w:val="0"/>
                                  <w:marTop w:val="0"/>
                                  <w:marBottom w:val="0"/>
                                  <w:divBdr>
                                    <w:top w:val="none" w:sz="0" w:space="0" w:color="auto"/>
                                    <w:left w:val="none" w:sz="0" w:space="0" w:color="auto"/>
                                    <w:bottom w:val="none" w:sz="0" w:space="0" w:color="auto"/>
                                    <w:right w:val="none" w:sz="0" w:space="0" w:color="auto"/>
                                  </w:divBdr>
                                  <w:divsChild>
                                    <w:div w:id="1482190476">
                                      <w:marLeft w:val="0"/>
                                      <w:marRight w:val="0"/>
                                      <w:marTop w:val="0"/>
                                      <w:marBottom w:val="0"/>
                                      <w:divBdr>
                                        <w:top w:val="none" w:sz="0" w:space="0" w:color="auto"/>
                                        <w:left w:val="none" w:sz="0" w:space="0" w:color="auto"/>
                                        <w:bottom w:val="none" w:sz="0" w:space="0" w:color="auto"/>
                                        <w:right w:val="none" w:sz="0" w:space="0" w:color="auto"/>
                                      </w:divBdr>
                                      <w:divsChild>
                                        <w:div w:id="967466453">
                                          <w:marLeft w:val="0"/>
                                          <w:marRight w:val="0"/>
                                          <w:marTop w:val="0"/>
                                          <w:marBottom w:val="0"/>
                                          <w:divBdr>
                                            <w:top w:val="none" w:sz="0" w:space="0" w:color="auto"/>
                                            <w:left w:val="none" w:sz="0" w:space="0" w:color="auto"/>
                                            <w:bottom w:val="none" w:sz="0" w:space="0" w:color="auto"/>
                                            <w:right w:val="none" w:sz="0" w:space="0" w:color="auto"/>
                                          </w:divBdr>
                                          <w:divsChild>
                                            <w:div w:id="1715888647">
                                              <w:marLeft w:val="0"/>
                                              <w:marRight w:val="0"/>
                                              <w:marTop w:val="0"/>
                                              <w:marBottom w:val="0"/>
                                              <w:divBdr>
                                                <w:top w:val="none" w:sz="0" w:space="0" w:color="auto"/>
                                                <w:left w:val="none" w:sz="0" w:space="0" w:color="auto"/>
                                                <w:bottom w:val="none" w:sz="0" w:space="0" w:color="auto"/>
                                                <w:right w:val="none" w:sz="0" w:space="0" w:color="auto"/>
                                              </w:divBdr>
                                              <w:divsChild>
                                                <w:div w:id="782112612">
                                                  <w:marLeft w:val="0"/>
                                                  <w:marRight w:val="0"/>
                                                  <w:marTop w:val="0"/>
                                                  <w:marBottom w:val="0"/>
                                                  <w:divBdr>
                                                    <w:top w:val="none" w:sz="0" w:space="0" w:color="auto"/>
                                                    <w:left w:val="none" w:sz="0" w:space="0" w:color="auto"/>
                                                    <w:bottom w:val="none" w:sz="0" w:space="0" w:color="auto"/>
                                                    <w:right w:val="none" w:sz="0" w:space="0" w:color="auto"/>
                                                  </w:divBdr>
                                                  <w:divsChild>
                                                    <w:div w:id="4240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90612-ministru-kabineta-kartibas-rullis" TargetMode="External"/><Relationship Id="rId3" Type="http://schemas.openxmlformats.org/officeDocument/2006/relationships/settings" Target="settings.xml"/><Relationship Id="rId7" Type="http://schemas.openxmlformats.org/officeDocument/2006/relationships/hyperlink" Target="https://likumi.lv/ta/id/2538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190612-ministru-kabineta-kartibas-rul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4018</Words>
  <Characters>2291</Characters>
  <Application>Microsoft Office Word</Application>
  <DocSecurity>4</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dc:creator>
  <cp:keywords/>
  <dc:description/>
  <cp:lastModifiedBy>Sanita Kalnača</cp:lastModifiedBy>
  <cp:revision>2</cp:revision>
  <dcterms:created xsi:type="dcterms:W3CDTF">2023-01-04T13:09:00Z</dcterms:created>
  <dcterms:modified xsi:type="dcterms:W3CDTF">2023-01-04T13:09:00Z</dcterms:modified>
</cp:coreProperties>
</file>