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073836" w:displacedByCustomXml="next"/>
    <w:bookmarkEnd w:id="0" w:displacedByCustomXml="next"/>
    <w:sdt>
      <w:sdtPr>
        <w:rPr>
          <w:rFonts w:ascii="Times New Roman" w:hAnsi="Times New Roman" w:cs="Times New Roman"/>
          <w:lang w:val="en-GB"/>
        </w:rPr>
        <w:id w:val="-526945448"/>
        <w:docPartObj>
          <w:docPartGallery w:val="Cover Pages"/>
          <w:docPartUnique/>
        </w:docPartObj>
      </w:sdtPr>
      <w:sdtEndPr/>
      <w:sdtContent>
        <w:p w14:paraId="72DD3E7D" w14:textId="5FB57734" w:rsidR="00964279" w:rsidRPr="007504E6" w:rsidRDefault="007B00D4" w:rsidP="00964279">
          <w:pPr>
            <w:rPr>
              <w:rFonts w:ascii="Times New Roman" w:hAnsi="Times New Roman" w:cs="Times New Roman"/>
              <w:lang w:val="en-GB"/>
            </w:rPr>
          </w:pPr>
          <w:r w:rsidRPr="007504E6">
            <w:rPr>
              <w:rFonts w:ascii="Times New Roman" w:hAnsi="Times New Roman" w:cs="Times New Roman"/>
              <w:noProof/>
              <w:lang w:val="en-GB"/>
            </w:rPr>
            <w:drawing>
              <wp:anchor distT="0" distB="0" distL="114300" distR="114300" simplePos="0" relativeHeight="251675648" behindDoc="0" locked="0" layoutInCell="1" allowOverlap="1" wp14:anchorId="783A50DF" wp14:editId="045B25C8">
                <wp:simplePos x="0" y="0"/>
                <wp:positionH relativeFrom="page">
                  <wp:align>right</wp:align>
                </wp:positionH>
                <wp:positionV relativeFrom="paragraph">
                  <wp:posOffset>-914400</wp:posOffset>
                </wp:positionV>
                <wp:extent cx="7543800" cy="6829425"/>
                <wp:effectExtent l="0" t="0" r="0"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4082" cy="6829680"/>
                        </a:xfrm>
                        <a:prstGeom prst="rect">
                          <a:avLst/>
                        </a:prstGeom>
                      </pic:spPr>
                    </pic:pic>
                  </a:graphicData>
                </a:graphic>
                <wp14:sizeRelH relativeFrom="margin">
                  <wp14:pctWidth>0</wp14:pctWidth>
                </wp14:sizeRelH>
                <wp14:sizeRelV relativeFrom="margin">
                  <wp14:pctHeight>0</wp14:pctHeight>
                </wp14:sizeRelV>
              </wp:anchor>
            </w:drawing>
          </w:r>
          <w:r w:rsidR="007321E3" w:rsidRPr="007504E6">
            <w:rPr>
              <w:rFonts w:ascii="Times New Roman" w:hAnsi="Times New Roman" w:cs="Times New Roman"/>
              <w:noProof/>
              <w:lang w:val="en-GB"/>
            </w:rPr>
            <w:drawing>
              <wp:anchor distT="0" distB="0" distL="114300" distR="114300" simplePos="0" relativeHeight="251661312" behindDoc="0" locked="0" layoutInCell="1" allowOverlap="1" wp14:anchorId="636EFD89" wp14:editId="503E9097">
                <wp:simplePos x="0" y="0"/>
                <wp:positionH relativeFrom="page">
                  <wp:align>right</wp:align>
                </wp:positionH>
                <wp:positionV relativeFrom="paragraph">
                  <wp:posOffset>-1228299</wp:posOffset>
                </wp:positionV>
                <wp:extent cx="7669299" cy="2105025"/>
                <wp:effectExtent l="0" t="0" r="8255" b="0"/>
                <wp:wrapNone/>
                <wp:docPr id="50" name="Picture 4">
                  <a:extLst xmlns:a="http://schemas.openxmlformats.org/drawingml/2006/main">
                    <a:ext uri="{FF2B5EF4-FFF2-40B4-BE49-F238E27FC236}">
                      <a16:creationId xmlns:a16="http://schemas.microsoft.com/office/drawing/2014/main" id="{7D3A167B-784A-481F-8C46-20F9345C70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D3A167B-784A-481F-8C46-20F9345C7025}"/>
                            </a:ext>
                          </a:extLst>
                        </pic:cNvPr>
                        <pic:cNvPicPr>
                          <a:picLocks noChangeAspect="1"/>
                        </pic:cNvPicPr>
                      </pic:nvPicPr>
                      <pic:blipFill rotWithShape="1">
                        <a:blip r:embed="rId10">
                          <a:extLst>
                            <a:ext uri="{28A0092B-C50C-407E-A947-70E740481C1C}">
                              <a14:useLocalDpi xmlns:a14="http://schemas.microsoft.com/office/drawing/2010/main" val="0"/>
                            </a:ext>
                          </a:extLst>
                        </a:blip>
                        <a:srcRect l="2471"/>
                        <a:stretch/>
                      </pic:blipFill>
                      <pic:spPr>
                        <a:xfrm>
                          <a:off x="0" y="0"/>
                          <a:ext cx="7675590" cy="2106752"/>
                        </a:xfrm>
                        <a:prstGeom prst="rect">
                          <a:avLst/>
                        </a:prstGeom>
                      </pic:spPr>
                    </pic:pic>
                  </a:graphicData>
                </a:graphic>
                <wp14:sizeRelH relativeFrom="margin">
                  <wp14:pctWidth>0</wp14:pctWidth>
                </wp14:sizeRelH>
                <wp14:sizeRelV relativeFrom="margin">
                  <wp14:pctHeight>0</wp14:pctHeight>
                </wp14:sizeRelV>
              </wp:anchor>
            </w:drawing>
          </w:r>
        </w:p>
        <w:p w14:paraId="74B50CAC" w14:textId="286177C4" w:rsidR="00964279" w:rsidRPr="007504E6" w:rsidRDefault="00964279" w:rsidP="00964279">
          <w:pPr>
            <w:rPr>
              <w:rFonts w:ascii="Times New Roman" w:hAnsi="Times New Roman" w:cs="Times New Roman"/>
              <w:lang w:val="en-GB"/>
            </w:rPr>
          </w:pPr>
        </w:p>
        <w:p w14:paraId="780E3DFE" w14:textId="137C93F6" w:rsidR="00964279" w:rsidRPr="007504E6" w:rsidRDefault="00964279" w:rsidP="00964279">
          <w:pPr>
            <w:rPr>
              <w:rFonts w:ascii="Times New Roman" w:hAnsi="Times New Roman" w:cs="Times New Roman"/>
              <w:lang w:val="en-GB"/>
            </w:rPr>
          </w:pPr>
        </w:p>
        <w:p w14:paraId="57601061" w14:textId="75D5F0B8" w:rsidR="00964279" w:rsidRPr="007504E6" w:rsidRDefault="00964279" w:rsidP="00964279">
          <w:pPr>
            <w:rPr>
              <w:rFonts w:ascii="Times New Roman" w:hAnsi="Times New Roman" w:cs="Times New Roman"/>
              <w:lang w:val="en-GB"/>
            </w:rPr>
          </w:pPr>
        </w:p>
        <w:p w14:paraId="7AB4FAA6" w14:textId="35DFA2DB" w:rsidR="00964279" w:rsidRPr="007504E6" w:rsidRDefault="0015100E" w:rsidP="00964279">
          <w:pPr>
            <w:rPr>
              <w:rFonts w:ascii="Times New Roman" w:hAnsi="Times New Roman" w:cs="Times New Roman"/>
              <w:lang w:val="en-GB"/>
            </w:rPr>
          </w:pPr>
          <w:r w:rsidRPr="007504E6">
            <w:rPr>
              <w:rFonts w:ascii="Times New Roman" w:hAnsi="Times New Roman" w:cs="Times New Roman"/>
              <w:noProof/>
              <w:lang w:val="en-GB"/>
            </w:rPr>
            <w:drawing>
              <wp:anchor distT="0" distB="0" distL="114300" distR="114300" simplePos="0" relativeHeight="251689984" behindDoc="0" locked="0" layoutInCell="1" allowOverlap="1" wp14:anchorId="45E57370" wp14:editId="4E12CBFE">
                <wp:simplePos x="0" y="0"/>
                <wp:positionH relativeFrom="page">
                  <wp:posOffset>7677150</wp:posOffset>
                </wp:positionH>
                <wp:positionV relativeFrom="paragraph">
                  <wp:posOffset>340995</wp:posOffset>
                </wp:positionV>
                <wp:extent cx="7591425" cy="617855"/>
                <wp:effectExtent l="0" t="0" r="952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37548"/>
                        <a:stretch/>
                      </pic:blipFill>
                      <pic:spPr bwMode="auto">
                        <a:xfrm>
                          <a:off x="0" y="0"/>
                          <a:ext cx="7591425" cy="617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3446BC" w14:textId="77777777" w:rsidR="00964279" w:rsidRPr="007504E6" w:rsidRDefault="007823C7" w:rsidP="00964279">
          <w:pPr>
            <w:rPr>
              <w:rFonts w:ascii="Times New Roman" w:hAnsi="Times New Roman" w:cs="Times New Roman"/>
              <w:lang w:val="en-GB"/>
            </w:rPr>
          </w:pPr>
          <w:r w:rsidRPr="007504E6">
            <w:rPr>
              <w:rFonts w:ascii="Times New Roman" w:hAnsi="Times New Roman" w:cs="Times New Roman"/>
              <w:noProof/>
              <w:sz w:val="44"/>
              <w:szCs w:val="44"/>
              <w:lang w:val="en-GB"/>
            </w:rPr>
            <w:drawing>
              <wp:anchor distT="0" distB="0" distL="114300" distR="114300" simplePos="0" relativeHeight="251731968" behindDoc="0" locked="0" layoutInCell="1" allowOverlap="1" wp14:anchorId="0193D798" wp14:editId="57D7A037">
                <wp:simplePos x="0" y="0"/>
                <wp:positionH relativeFrom="page">
                  <wp:posOffset>-699636</wp:posOffset>
                </wp:positionH>
                <wp:positionV relativeFrom="paragraph">
                  <wp:posOffset>604754</wp:posOffset>
                </wp:positionV>
                <wp:extent cx="5177641" cy="5177641"/>
                <wp:effectExtent l="0" t="0" r="0" b="0"/>
                <wp:wrapNone/>
                <wp:docPr id="55" name="Graphic 55" descr="A grid with small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A grid with small circles"/>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177641" cy="5177641"/>
                        </a:xfrm>
                        <a:prstGeom prst="rect">
                          <a:avLst/>
                        </a:prstGeom>
                      </pic:spPr>
                    </pic:pic>
                  </a:graphicData>
                </a:graphic>
                <wp14:sizeRelH relativeFrom="margin">
                  <wp14:pctWidth>0</wp14:pctWidth>
                </wp14:sizeRelH>
                <wp14:sizeRelV relativeFrom="margin">
                  <wp14:pctHeight>0</wp14:pctHeight>
                </wp14:sizeRelV>
              </wp:anchor>
            </w:drawing>
          </w:r>
        </w:p>
        <w:p w14:paraId="730F717B" w14:textId="52814144" w:rsidR="00964279" w:rsidRPr="007504E6" w:rsidRDefault="00964279" w:rsidP="00964279">
          <w:pPr>
            <w:rPr>
              <w:rFonts w:ascii="Times New Roman" w:hAnsi="Times New Roman" w:cs="Times New Roman"/>
              <w:lang w:val="en-GB"/>
            </w:rPr>
          </w:pPr>
        </w:p>
        <w:p w14:paraId="2D635AAA" w14:textId="06A30958" w:rsidR="00964279" w:rsidRPr="007504E6" w:rsidRDefault="00964279" w:rsidP="00964279">
          <w:pPr>
            <w:rPr>
              <w:rFonts w:ascii="Times New Roman" w:hAnsi="Times New Roman" w:cs="Times New Roman"/>
              <w:lang w:val="en-GB"/>
            </w:rPr>
          </w:pPr>
        </w:p>
        <w:p w14:paraId="46BC5F75" w14:textId="6F461E86" w:rsidR="00964279" w:rsidRPr="007504E6" w:rsidRDefault="00964279" w:rsidP="00964279">
          <w:pPr>
            <w:rPr>
              <w:rFonts w:ascii="Times New Roman" w:hAnsi="Times New Roman" w:cs="Times New Roman"/>
              <w:lang w:val="en-GB"/>
            </w:rPr>
          </w:pPr>
        </w:p>
        <w:p w14:paraId="75DB8593" w14:textId="2635CC01" w:rsidR="00964279" w:rsidRPr="007504E6" w:rsidRDefault="00964279" w:rsidP="00964279">
          <w:pPr>
            <w:rPr>
              <w:rFonts w:ascii="Times New Roman" w:hAnsi="Times New Roman" w:cs="Times New Roman"/>
              <w:lang w:val="en-GB"/>
            </w:rPr>
          </w:pPr>
        </w:p>
        <w:p w14:paraId="00401AF4" w14:textId="11E468CE" w:rsidR="00964279" w:rsidRPr="007504E6" w:rsidRDefault="00964279" w:rsidP="00964279">
          <w:pPr>
            <w:rPr>
              <w:rFonts w:ascii="Times New Roman" w:hAnsi="Times New Roman" w:cs="Times New Roman"/>
              <w:lang w:val="en-GB"/>
            </w:rPr>
          </w:pPr>
        </w:p>
        <w:p w14:paraId="36002C4E" w14:textId="249B7B38" w:rsidR="00964279" w:rsidRPr="007504E6" w:rsidRDefault="00964279" w:rsidP="00964279">
          <w:pPr>
            <w:rPr>
              <w:rFonts w:ascii="Times New Roman" w:hAnsi="Times New Roman" w:cs="Times New Roman"/>
              <w:lang w:val="en-GB"/>
            </w:rPr>
          </w:pPr>
        </w:p>
        <w:p w14:paraId="720CBE89" w14:textId="770C1FA3" w:rsidR="00964279" w:rsidRPr="007504E6" w:rsidRDefault="00964279" w:rsidP="00964279">
          <w:pPr>
            <w:rPr>
              <w:rFonts w:ascii="Times New Roman" w:hAnsi="Times New Roman" w:cs="Times New Roman"/>
              <w:lang w:val="en-GB"/>
            </w:rPr>
          </w:pPr>
        </w:p>
        <w:p w14:paraId="2358C1BF" w14:textId="67D5662F" w:rsidR="00964279" w:rsidRPr="007504E6" w:rsidRDefault="00964279" w:rsidP="00964279">
          <w:pPr>
            <w:rPr>
              <w:rFonts w:ascii="Times New Roman" w:hAnsi="Times New Roman" w:cs="Times New Roman"/>
              <w:lang w:val="en-GB"/>
            </w:rPr>
          </w:pPr>
        </w:p>
        <w:p w14:paraId="629776CC" w14:textId="30CFD445" w:rsidR="00964279" w:rsidRPr="007504E6" w:rsidRDefault="00964279" w:rsidP="00964279">
          <w:pPr>
            <w:rPr>
              <w:rFonts w:ascii="Times New Roman" w:hAnsi="Times New Roman" w:cs="Times New Roman"/>
              <w:lang w:val="en-GB"/>
            </w:rPr>
          </w:pPr>
        </w:p>
        <w:p w14:paraId="360185FA" w14:textId="6B5A9009" w:rsidR="00964279" w:rsidRPr="007504E6" w:rsidRDefault="00964279" w:rsidP="00964279">
          <w:pPr>
            <w:rPr>
              <w:rFonts w:ascii="Times New Roman" w:hAnsi="Times New Roman" w:cs="Times New Roman"/>
              <w:lang w:val="en-GB"/>
            </w:rPr>
          </w:pPr>
        </w:p>
        <w:p w14:paraId="35B561CF" w14:textId="61A009D4" w:rsidR="00964279" w:rsidRPr="007504E6" w:rsidRDefault="00964279" w:rsidP="00964279">
          <w:pPr>
            <w:rPr>
              <w:rFonts w:ascii="Times New Roman" w:hAnsi="Times New Roman" w:cs="Times New Roman"/>
              <w:lang w:val="en-GB"/>
            </w:rPr>
          </w:pPr>
        </w:p>
        <w:p w14:paraId="6ED10C4E" w14:textId="415E0388" w:rsidR="00964279" w:rsidRPr="007504E6" w:rsidRDefault="00964279" w:rsidP="00964279">
          <w:pPr>
            <w:rPr>
              <w:rFonts w:ascii="Times New Roman" w:hAnsi="Times New Roman" w:cs="Times New Roman"/>
              <w:lang w:val="en-GB"/>
            </w:rPr>
          </w:pPr>
        </w:p>
        <w:p w14:paraId="08F1F8CF" w14:textId="3EEB6E22" w:rsidR="007321E3" w:rsidRPr="007504E6" w:rsidRDefault="007B00D4" w:rsidP="00964279">
          <w:pPr>
            <w:rPr>
              <w:rFonts w:ascii="Times New Roman" w:hAnsi="Times New Roman" w:cs="Times New Roman"/>
              <w:lang w:val="en-GB"/>
            </w:rPr>
          </w:pPr>
          <w:r w:rsidRPr="007504E6">
            <w:rPr>
              <w:rFonts w:ascii="Times New Roman" w:hAnsi="Times New Roman" w:cs="Times New Roman"/>
              <w:noProof/>
              <w:lang w:val="en-GB"/>
            </w:rPr>
            <mc:AlternateContent>
              <mc:Choice Requires="wps">
                <w:drawing>
                  <wp:anchor distT="0" distB="0" distL="114300" distR="114300" simplePos="0" relativeHeight="251677696" behindDoc="0" locked="0" layoutInCell="1" allowOverlap="1" wp14:anchorId="05B84FE1" wp14:editId="650460EB">
                    <wp:simplePos x="0" y="0"/>
                    <wp:positionH relativeFrom="margin">
                      <wp:align>center</wp:align>
                    </wp:positionH>
                    <wp:positionV relativeFrom="paragraph">
                      <wp:posOffset>252094</wp:posOffset>
                    </wp:positionV>
                    <wp:extent cx="8305518" cy="917575"/>
                    <wp:effectExtent l="0" t="933450" r="0" b="930275"/>
                    <wp:wrapNone/>
                    <wp:docPr id="52" name="Parallelogram 52"/>
                    <wp:cNvGraphicFramePr/>
                    <a:graphic xmlns:a="http://schemas.openxmlformats.org/drawingml/2006/main">
                      <a:graphicData uri="http://schemas.microsoft.com/office/word/2010/wordprocessingShape">
                        <wps:wsp>
                          <wps:cNvSpPr/>
                          <wps:spPr>
                            <a:xfrm rot="20815150">
                              <a:off x="0" y="0"/>
                              <a:ext cx="8305518" cy="917575"/>
                            </a:xfrm>
                            <a:prstGeom prst="parallelogram">
                              <a:avLst>
                                <a:gd name="adj" fmla="val 574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22EF50"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2" o:spid="_x0000_s1026" type="#_x0000_t7" style="position:absolute;margin-left:0;margin-top:19.85pt;width:654pt;height:72.25pt;rotation:-857265fd;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" adj="137" fillcolor="white [3212]" stroked="f" strokeweight="1pt">
                    <w10:wrap anchorx="margin"/>
                  </v:shape>
                </w:pict>
              </mc:Fallback>
            </mc:AlternateContent>
          </w:r>
        </w:p>
        <w:p w14:paraId="4DFB4A19" w14:textId="2250E580" w:rsidR="007321E3" w:rsidRPr="007504E6" w:rsidRDefault="00B7359A" w:rsidP="00964279">
          <w:pPr>
            <w:rPr>
              <w:rFonts w:ascii="Times New Roman" w:hAnsi="Times New Roman" w:cs="Times New Roman"/>
              <w:lang w:val="en-GB"/>
            </w:rPr>
          </w:pPr>
          <w:r w:rsidRPr="007504E6">
            <w:rPr>
              <w:rFonts w:ascii="Times New Roman" w:hAnsi="Times New Roman" w:cs="Times New Roman"/>
              <w:noProof/>
              <w:sz w:val="36"/>
              <w:szCs w:val="36"/>
              <w:lang w:val="en-GB"/>
            </w:rPr>
            <w:drawing>
              <wp:anchor distT="0" distB="0" distL="114300" distR="114300" simplePos="0" relativeHeight="251685888" behindDoc="0" locked="0" layoutInCell="1" allowOverlap="1" wp14:anchorId="119119F3" wp14:editId="6AE0400A">
                <wp:simplePos x="0" y="0"/>
                <wp:positionH relativeFrom="column">
                  <wp:posOffset>4975275</wp:posOffset>
                </wp:positionH>
                <wp:positionV relativeFrom="paragraph">
                  <wp:posOffset>140772</wp:posOffset>
                </wp:positionV>
                <wp:extent cx="1125186" cy="869462"/>
                <wp:effectExtent l="0" t="0" r="0" b="6985"/>
                <wp:wrapNone/>
                <wp:docPr id="46" name="Picture 4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5186" cy="869462"/>
                        </a:xfrm>
                        <a:prstGeom prst="rect">
                          <a:avLst/>
                        </a:prstGeom>
                      </pic:spPr>
                    </pic:pic>
                  </a:graphicData>
                </a:graphic>
                <wp14:sizeRelH relativeFrom="margin">
                  <wp14:pctWidth>0</wp14:pctWidth>
                </wp14:sizeRelH>
                <wp14:sizeRelV relativeFrom="margin">
                  <wp14:pctHeight>0</wp14:pctHeight>
                </wp14:sizeRelV>
              </wp:anchor>
            </w:drawing>
          </w:r>
          <w:r w:rsidR="007B00D4" w:rsidRPr="007504E6">
            <w:rPr>
              <w:rFonts w:ascii="Times New Roman" w:hAnsi="Times New Roman" w:cs="Times New Roman"/>
              <w:noProof/>
              <w:sz w:val="36"/>
              <w:szCs w:val="36"/>
              <w:lang w:val="en-GB"/>
            </w:rPr>
            <mc:AlternateContent>
              <mc:Choice Requires="wps">
                <w:drawing>
                  <wp:anchor distT="0" distB="0" distL="114300" distR="114300" simplePos="0" relativeHeight="251683840" behindDoc="0" locked="0" layoutInCell="1" allowOverlap="1" wp14:anchorId="7D8CAEE8" wp14:editId="222B37BC">
                    <wp:simplePos x="0" y="0"/>
                    <wp:positionH relativeFrom="page">
                      <wp:posOffset>4352925</wp:posOffset>
                    </wp:positionH>
                    <wp:positionV relativeFrom="paragraph">
                      <wp:posOffset>12700</wp:posOffset>
                    </wp:positionV>
                    <wp:extent cx="3202940" cy="900752"/>
                    <wp:effectExtent l="0" t="0" r="0" b="0"/>
                    <wp:wrapNone/>
                    <wp:docPr id="54" name="Rectangle 54"/>
                    <wp:cNvGraphicFramePr/>
                    <a:graphic xmlns:a="http://schemas.openxmlformats.org/drawingml/2006/main">
                      <a:graphicData uri="http://schemas.microsoft.com/office/word/2010/wordprocessingShape">
                        <wps:wsp>
                          <wps:cNvSpPr/>
                          <wps:spPr>
                            <a:xfrm>
                              <a:off x="0" y="0"/>
                              <a:ext cx="3202940" cy="90075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06A60" id="Rectangle 54" o:spid="_x0000_s1026" style="position:absolute;margin-left:342.75pt;margin-top:1pt;width:252.2pt;height:70.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" fillcolor="white [3212]" stroked="f" strokeweight="1pt">
                    <w10:wrap anchorx="page"/>
                  </v:rect>
                </w:pict>
              </mc:Fallback>
            </mc:AlternateContent>
          </w:r>
        </w:p>
        <w:p w14:paraId="44E1F8B8" w14:textId="23AF976D" w:rsidR="007321E3" w:rsidRPr="007504E6" w:rsidRDefault="007321E3" w:rsidP="00964279">
          <w:pPr>
            <w:rPr>
              <w:rFonts w:ascii="Times New Roman" w:hAnsi="Times New Roman" w:cs="Times New Roman"/>
              <w:lang w:val="en-GB"/>
            </w:rPr>
          </w:pPr>
        </w:p>
        <w:p w14:paraId="75B1B2CB" w14:textId="1A6A27EB" w:rsidR="007321E3" w:rsidRPr="007504E6" w:rsidRDefault="007B00D4" w:rsidP="00964279">
          <w:pPr>
            <w:rPr>
              <w:rFonts w:ascii="Times New Roman" w:hAnsi="Times New Roman" w:cs="Times New Roman"/>
              <w:lang w:val="en-GB"/>
            </w:rPr>
          </w:pPr>
          <w:r w:rsidRPr="007504E6">
            <w:rPr>
              <w:rFonts w:ascii="Times New Roman" w:hAnsi="Times New Roman" w:cs="Times New Roman"/>
              <w:noProof/>
              <w:sz w:val="36"/>
              <w:szCs w:val="36"/>
              <w:lang w:val="en-GB"/>
            </w:rPr>
            <mc:AlternateContent>
              <mc:Choice Requires="wps">
                <w:drawing>
                  <wp:anchor distT="0" distB="0" distL="114300" distR="114300" simplePos="0" relativeHeight="251679744" behindDoc="0" locked="0" layoutInCell="1" allowOverlap="1" wp14:anchorId="181888E7" wp14:editId="4E638CC5">
                    <wp:simplePos x="0" y="0"/>
                    <wp:positionH relativeFrom="column">
                      <wp:posOffset>762000</wp:posOffset>
                    </wp:positionH>
                    <wp:positionV relativeFrom="paragraph">
                      <wp:posOffset>3810</wp:posOffset>
                    </wp:positionV>
                    <wp:extent cx="5922645" cy="900638"/>
                    <wp:effectExtent l="0" t="0" r="1905" b="0"/>
                    <wp:wrapNone/>
                    <wp:docPr id="53" name="Rectangle 53"/>
                    <wp:cNvGraphicFramePr/>
                    <a:graphic xmlns:a="http://schemas.openxmlformats.org/drawingml/2006/main">
                      <a:graphicData uri="http://schemas.microsoft.com/office/word/2010/wordprocessingShape">
                        <wps:wsp>
                          <wps:cNvSpPr/>
                          <wps:spPr>
                            <a:xfrm>
                              <a:off x="0" y="0"/>
                              <a:ext cx="5922645" cy="90063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9AC98B" id="Rectangle 53" o:spid="_x0000_s1026" style="position:absolute;margin-left:60pt;margin-top:.3pt;width:466.35pt;height:70.9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" fillcolor="white [3212]" stroked="f" strokeweight="1pt"/>
                </w:pict>
              </mc:Fallback>
            </mc:AlternateContent>
          </w:r>
        </w:p>
        <w:p w14:paraId="7C8C4F18" w14:textId="67C44B06" w:rsidR="00652188" w:rsidRPr="007504E6" w:rsidRDefault="00652188" w:rsidP="007321E3">
          <w:pPr>
            <w:ind w:firstLine="0"/>
            <w:rPr>
              <w:rFonts w:ascii="Times New Roman" w:hAnsi="Times New Roman" w:cs="Times New Roman"/>
              <w:lang w:val="en-GB"/>
            </w:rPr>
          </w:pPr>
        </w:p>
        <w:p w14:paraId="14380710" w14:textId="43248F83" w:rsidR="00652188" w:rsidRPr="007504E6" w:rsidRDefault="00652188" w:rsidP="00652188">
          <w:pPr>
            <w:spacing w:line="240" w:lineRule="auto"/>
            <w:ind w:firstLine="0"/>
            <w:rPr>
              <w:rFonts w:ascii="Times New Roman" w:hAnsi="Times New Roman" w:cs="Times New Roman"/>
              <w:sz w:val="36"/>
              <w:szCs w:val="36"/>
              <w:lang w:val="en-GB"/>
            </w:rPr>
          </w:pPr>
        </w:p>
        <w:p w14:paraId="7B9D02A5" w14:textId="45480977" w:rsidR="00652188" w:rsidRPr="007504E6" w:rsidRDefault="00652188" w:rsidP="00652188">
          <w:pPr>
            <w:spacing w:line="240" w:lineRule="auto"/>
            <w:ind w:firstLine="0"/>
            <w:rPr>
              <w:rFonts w:ascii="Times New Roman" w:hAnsi="Times New Roman" w:cs="Times New Roman"/>
              <w:sz w:val="36"/>
              <w:szCs w:val="36"/>
              <w:lang w:val="en-GB"/>
            </w:rPr>
          </w:pPr>
        </w:p>
        <w:p w14:paraId="56640BC8" w14:textId="1D33C507" w:rsidR="00652188" w:rsidRPr="007504E6" w:rsidRDefault="00652188" w:rsidP="00652188">
          <w:pPr>
            <w:spacing w:line="240" w:lineRule="auto"/>
            <w:ind w:firstLine="0"/>
            <w:rPr>
              <w:rFonts w:ascii="Times New Roman" w:hAnsi="Times New Roman" w:cs="Times New Roman"/>
              <w:sz w:val="36"/>
              <w:szCs w:val="36"/>
              <w:lang w:val="en-GB"/>
            </w:rPr>
          </w:pPr>
        </w:p>
        <w:p w14:paraId="551CA724" w14:textId="77777777" w:rsidR="00E95B72" w:rsidRPr="007504E6" w:rsidRDefault="00E95B72" w:rsidP="00E95B72">
          <w:pPr>
            <w:spacing w:line="240" w:lineRule="auto"/>
            <w:ind w:firstLine="0"/>
            <w:jc w:val="left"/>
            <w:rPr>
              <w:rFonts w:ascii="Times New Roman" w:hAnsi="Times New Roman" w:cs="Times New Roman"/>
              <w:sz w:val="44"/>
              <w:szCs w:val="44"/>
              <w:lang w:val="en-GB"/>
            </w:rPr>
          </w:pPr>
          <w:r w:rsidRPr="007504E6">
            <w:rPr>
              <w:rFonts w:ascii="Times New Roman" w:hAnsi="Times New Roman" w:cs="Times New Roman"/>
              <w:sz w:val="44"/>
              <w:szCs w:val="44"/>
              <w:lang w:val="en-GB"/>
            </w:rPr>
            <w:t>PROJECTED CHANGE IN LABOR FORCE</w:t>
          </w:r>
        </w:p>
        <w:p w14:paraId="4744E559" w14:textId="77777777" w:rsidR="00E95B72" w:rsidRPr="007504E6" w:rsidRDefault="00E95B72" w:rsidP="00E95B72">
          <w:pPr>
            <w:spacing w:line="240" w:lineRule="auto"/>
            <w:ind w:firstLine="0"/>
            <w:jc w:val="left"/>
            <w:rPr>
              <w:rFonts w:ascii="Times New Roman" w:hAnsi="Times New Roman" w:cs="Times New Roman"/>
              <w:sz w:val="44"/>
              <w:szCs w:val="44"/>
              <w:lang w:val="en-GB"/>
            </w:rPr>
          </w:pPr>
          <w:r w:rsidRPr="007504E6">
            <w:rPr>
              <w:rFonts w:ascii="Times New Roman" w:hAnsi="Times New Roman" w:cs="Times New Roman"/>
              <w:sz w:val="44"/>
              <w:szCs w:val="44"/>
              <w:lang w:val="en-GB"/>
            </w:rPr>
            <w:t>AND BUILDING MATERIALS COSTS</w:t>
          </w:r>
        </w:p>
        <w:p w14:paraId="2D8A5C10" w14:textId="6824135D" w:rsidR="00652188" w:rsidRPr="007504E6" w:rsidRDefault="00E95B72" w:rsidP="00E95B72">
          <w:pPr>
            <w:spacing w:line="240" w:lineRule="auto"/>
            <w:ind w:firstLine="0"/>
            <w:jc w:val="left"/>
            <w:rPr>
              <w:rFonts w:ascii="Times New Roman" w:hAnsi="Times New Roman" w:cs="Times New Roman"/>
              <w:sz w:val="44"/>
              <w:szCs w:val="44"/>
              <w:lang w:val="en-GB"/>
            </w:rPr>
          </w:pPr>
          <w:r w:rsidRPr="007504E6">
            <w:rPr>
              <w:rFonts w:ascii="Times New Roman" w:hAnsi="Times New Roman" w:cs="Times New Roman"/>
              <w:sz w:val="44"/>
              <w:szCs w:val="44"/>
              <w:lang w:val="en-GB"/>
            </w:rPr>
            <w:t>in the construction sector in Latvia in 2021-2025</w:t>
          </w:r>
        </w:p>
        <w:p w14:paraId="152D698E" w14:textId="3A2D526C" w:rsidR="00652188" w:rsidRPr="007504E6" w:rsidRDefault="00652188" w:rsidP="007321E3">
          <w:pPr>
            <w:spacing w:line="240" w:lineRule="auto"/>
            <w:ind w:firstLine="0"/>
            <w:rPr>
              <w:rFonts w:ascii="Times New Roman" w:hAnsi="Times New Roman" w:cs="Times New Roman"/>
              <w:sz w:val="36"/>
              <w:szCs w:val="36"/>
              <w:lang w:val="en-GB"/>
            </w:rPr>
          </w:pPr>
        </w:p>
        <w:p w14:paraId="544A0D3A" w14:textId="3F34948F" w:rsidR="00420DDC" w:rsidRPr="007504E6" w:rsidRDefault="00420DDC" w:rsidP="007321E3">
          <w:pPr>
            <w:spacing w:line="240" w:lineRule="auto"/>
            <w:ind w:firstLine="0"/>
            <w:rPr>
              <w:rFonts w:ascii="Times New Roman" w:hAnsi="Times New Roman" w:cs="Times New Roman"/>
              <w:sz w:val="36"/>
              <w:szCs w:val="36"/>
              <w:lang w:val="en-GB"/>
            </w:rPr>
          </w:pPr>
        </w:p>
        <w:p w14:paraId="759BBF85" w14:textId="4FAD8CD3" w:rsidR="007321E3" w:rsidRPr="007504E6" w:rsidRDefault="00E153D4" w:rsidP="007321E3">
          <w:pPr>
            <w:spacing w:line="240" w:lineRule="auto"/>
            <w:ind w:firstLine="0"/>
            <w:rPr>
              <w:rFonts w:ascii="Times New Roman" w:hAnsi="Times New Roman" w:cs="Times New Roman"/>
              <w:lang w:val="en-GB"/>
            </w:rPr>
          </w:pPr>
          <w:r w:rsidRPr="007504E6">
            <w:rPr>
              <w:rFonts w:ascii="Times New Roman" w:hAnsi="Times New Roman" w:cs="Times New Roman"/>
              <w:noProof/>
              <w:lang w:val="en-GB"/>
            </w:rPr>
            <w:drawing>
              <wp:anchor distT="0" distB="0" distL="114300" distR="114300" simplePos="0" relativeHeight="251730944" behindDoc="0" locked="0" layoutInCell="1" allowOverlap="1" wp14:anchorId="56311B4D" wp14:editId="5D0610F9">
                <wp:simplePos x="0" y="0"/>
                <wp:positionH relativeFrom="column">
                  <wp:posOffset>-438150</wp:posOffset>
                </wp:positionH>
                <wp:positionV relativeFrom="paragraph">
                  <wp:posOffset>257175</wp:posOffset>
                </wp:positionV>
                <wp:extent cx="2870200" cy="229217"/>
                <wp:effectExtent l="0" t="0" r="0" b="0"/>
                <wp:wrapNone/>
                <wp:docPr id="45" name="Graphic 45" descr="A brush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A brushstroke"/>
                        <pic:cNvPicPr/>
                      </pic:nvPicPr>
                      <pic:blipFill rotWithShape="1">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t="41565" b="41738"/>
                        <a:stretch/>
                      </pic:blipFill>
                      <pic:spPr bwMode="auto">
                        <a:xfrm>
                          <a:off x="0" y="0"/>
                          <a:ext cx="2949212" cy="2355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F921D1" w14:textId="28152EB5" w:rsidR="007321E3" w:rsidRPr="007504E6" w:rsidRDefault="007321E3" w:rsidP="007321E3">
          <w:pPr>
            <w:spacing w:line="240" w:lineRule="auto"/>
            <w:ind w:firstLine="0"/>
            <w:rPr>
              <w:rFonts w:ascii="Times New Roman" w:hAnsi="Times New Roman" w:cs="Times New Roman"/>
              <w:lang w:val="en-GB"/>
            </w:rPr>
          </w:pPr>
        </w:p>
        <w:p w14:paraId="455AAA61" w14:textId="77777777" w:rsidR="00420DDC" w:rsidRPr="007504E6" w:rsidRDefault="00420DDC" w:rsidP="007321E3">
          <w:pPr>
            <w:spacing w:line="240" w:lineRule="auto"/>
            <w:ind w:firstLine="0"/>
            <w:rPr>
              <w:rFonts w:ascii="Times New Roman" w:hAnsi="Times New Roman" w:cs="Times New Roman"/>
              <w:sz w:val="32"/>
              <w:szCs w:val="32"/>
              <w:lang w:val="en-GB"/>
            </w:rPr>
          </w:pPr>
        </w:p>
        <w:p w14:paraId="027B5F73" w14:textId="5F695D10" w:rsidR="007321E3" w:rsidRPr="007504E6" w:rsidRDefault="007321E3" w:rsidP="007321E3">
          <w:pPr>
            <w:spacing w:line="240" w:lineRule="auto"/>
            <w:ind w:firstLine="0"/>
            <w:rPr>
              <w:rFonts w:ascii="Times New Roman" w:hAnsi="Times New Roman" w:cs="Times New Roman"/>
              <w:sz w:val="32"/>
              <w:szCs w:val="32"/>
              <w:lang w:val="en-GB"/>
            </w:rPr>
          </w:pPr>
          <w:r w:rsidRPr="007504E6">
            <w:rPr>
              <w:rFonts w:ascii="Times New Roman" w:hAnsi="Times New Roman" w:cs="Times New Roman"/>
              <w:noProof/>
              <w:sz w:val="18"/>
              <w:szCs w:val="18"/>
              <w:lang w:val="en-GB"/>
            </w:rPr>
            <w:drawing>
              <wp:anchor distT="0" distB="0" distL="114300" distR="114300" simplePos="0" relativeHeight="251660288" behindDoc="0" locked="0" layoutInCell="1" allowOverlap="1" wp14:anchorId="19734529" wp14:editId="292E55FC">
                <wp:simplePos x="0" y="0"/>
                <wp:positionH relativeFrom="column">
                  <wp:posOffset>682019</wp:posOffset>
                </wp:positionH>
                <wp:positionV relativeFrom="paragraph">
                  <wp:posOffset>17173</wp:posOffset>
                </wp:positionV>
                <wp:extent cx="1282889" cy="255996"/>
                <wp:effectExtent l="0" t="0" r="0" b="0"/>
                <wp:wrapNone/>
                <wp:docPr id="23" name="Picture 5">
                  <a:extLst xmlns:a="http://schemas.openxmlformats.org/drawingml/2006/main">
                    <a:ext uri="{FF2B5EF4-FFF2-40B4-BE49-F238E27FC236}">
                      <a16:creationId xmlns:a16="http://schemas.microsoft.com/office/drawing/2014/main" id="{306AC589-D952-476C-8ED5-D91FA7DBA8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06AC589-D952-476C-8ED5-D91FA7DBA813}"/>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2889" cy="255996"/>
                        </a:xfrm>
                        <a:prstGeom prst="rect">
                          <a:avLst/>
                        </a:prstGeom>
                      </pic:spPr>
                    </pic:pic>
                  </a:graphicData>
                </a:graphic>
                <wp14:sizeRelH relativeFrom="margin">
                  <wp14:pctWidth>0</wp14:pctWidth>
                </wp14:sizeRelH>
                <wp14:sizeRelV relativeFrom="margin">
                  <wp14:pctHeight>0</wp14:pctHeight>
                </wp14:sizeRelV>
              </wp:anchor>
            </w:drawing>
          </w:r>
          <w:r w:rsidRPr="007504E6">
            <w:rPr>
              <w:rFonts w:ascii="Times New Roman" w:hAnsi="Times New Roman" w:cs="Times New Roman"/>
              <w:sz w:val="32"/>
              <w:szCs w:val="32"/>
              <w:lang w:val="en-GB"/>
            </w:rPr>
            <w:t xml:space="preserve">2021 | </w:t>
          </w:r>
        </w:p>
        <w:p w14:paraId="4CE048E8" w14:textId="42472F1E" w:rsidR="00856842" w:rsidRPr="007504E6" w:rsidRDefault="00B0130F" w:rsidP="00420DDC">
          <w:pPr>
            <w:spacing w:line="240" w:lineRule="auto"/>
            <w:ind w:firstLine="0"/>
            <w:rPr>
              <w:rFonts w:ascii="Times New Roman" w:hAnsi="Times New Roman" w:cs="Times New Roman"/>
              <w:lang w:val="en-GB"/>
            </w:rPr>
          </w:pPr>
        </w:p>
      </w:sdtContent>
    </w:sdt>
    <w:p w14:paraId="637C267F" w14:textId="5A47CBF2" w:rsidR="002E184E" w:rsidRPr="007504E6" w:rsidRDefault="00FE3042" w:rsidP="002E184E">
      <w:pPr>
        <w:ind w:firstLine="0"/>
        <w:jc w:val="left"/>
        <w:rPr>
          <w:rFonts w:ascii="Times New Roman" w:hAnsi="Times New Roman" w:cs="Times New Roman"/>
          <w:lang w:val="en-GB"/>
        </w:rPr>
      </w:pPr>
      <w:r w:rsidRPr="007504E6">
        <w:rPr>
          <w:rFonts w:ascii="Times New Roman" w:hAnsi="Times New Roman" w:cs="Times New Roman"/>
          <w:noProof/>
          <w:sz w:val="16"/>
          <w:szCs w:val="16"/>
          <w:lang w:val="en-GB"/>
        </w:rPr>
        <w:lastRenderedPageBreak/>
        <mc:AlternateContent>
          <mc:Choice Requires="wps">
            <w:drawing>
              <wp:anchor distT="0" distB="0" distL="114300" distR="114300" simplePos="0" relativeHeight="251776000" behindDoc="0" locked="0" layoutInCell="1" allowOverlap="1" wp14:anchorId="2F0E8200" wp14:editId="144DCC0E">
                <wp:simplePos x="0" y="0"/>
                <wp:positionH relativeFrom="margin">
                  <wp:posOffset>-315240</wp:posOffset>
                </wp:positionH>
                <wp:positionV relativeFrom="paragraph">
                  <wp:posOffset>-594512</wp:posOffset>
                </wp:positionV>
                <wp:extent cx="6846570" cy="357505"/>
                <wp:effectExtent l="0" t="0" r="0" b="4445"/>
                <wp:wrapNone/>
                <wp:docPr id="41" name="Rectangle 41"/>
                <wp:cNvGraphicFramePr/>
                <a:graphic xmlns:a="http://schemas.openxmlformats.org/drawingml/2006/main">
                  <a:graphicData uri="http://schemas.microsoft.com/office/word/2010/wordprocessingShape">
                    <wps:wsp>
                      <wps:cNvSpPr/>
                      <wps:spPr>
                        <a:xfrm>
                          <a:off x="0" y="0"/>
                          <a:ext cx="6846570" cy="3575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F82B9" id="Rectangle 41" o:spid="_x0000_s1026" style="position:absolute;margin-left:-24.8pt;margin-top:-46.8pt;width:539.1pt;height:28.1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" fillcolor="white [3212]" stroked="f" strokeweight="1pt">
                <w10:wrap anchorx="margin"/>
              </v:rect>
            </w:pict>
          </mc:Fallback>
        </mc:AlternateContent>
      </w:r>
    </w:p>
    <w:p w14:paraId="4FEB7909" w14:textId="016AC309" w:rsidR="002E184E" w:rsidRPr="007504E6" w:rsidRDefault="002E184E" w:rsidP="002E184E">
      <w:pPr>
        <w:ind w:firstLine="0"/>
        <w:jc w:val="left"/>
        <w:rPr>
          <w:rFonts w:ascii="Times New Roman" w:hAnsi="Times New Roman" w:cs="Times New Roman"/>
          <w:lang w:val="en-GB"/>
        </w:rPr>
      </w:pPr>
    </w:p>
    <w:p w14:paraId="69B4EF55" w14:textId="40A7F5CB" w:rsidR="002E184E" w:rsidRPr="007504E6" w:rsidRDefault="002E184E" w:rsidP="002E184E">
      <w:pPr>
        <w:ind w:firstLine="0"/>
        <w:jc w:val="left"/>
        <w:rPr>
          <w:rFonts w:ascii="Times New Roman" w:hAnsi="Times New Roman" w:cs="Times New Roman"/>
          <w:lang w:val="en-GB"/>
        </w:rPr>
      </w:pPr>
    </w:p>
    <w:p w14:paraId="29566EAD" w14:textId="14A09298" w:rsidR="002E184E" w:rsidRPr="007504E6" w:rsidRDefault="002E184E" w:rsidP="002E184E">
      <w:pPr>
        <w:ind w:firstLine="0"/>
        <w:jc w:val="left"/>
        <w:rPr>
          <w:rFonts w:ascii="Times New Roman" w:hAnsi="Times New Roman" w:cs="Times New Roman"/>
          <w:lang w:val="en-GB"/>
        </w:rPr>
      </w:pPr>
    </w:p>
    <w:p w14:paraId="0A979875" w14:textId="77777777" w:rsidR="002E184E" w:rsidRPr="007504E6" w:rsidRDefault="002E184E" w:rsidP="002E184E">
      <w:pPr>
        <w:ind w:firstLine="0"/>
        <w:jc w:val="left"/>
        <w:rPr>
          <w:rFonts w:ascii="Times New Roman" w:hAnsi="Times New Roman" w:cs="Times New Roman"/>
          <w:lang w:val="en-GB"/>
        </w:rPr>
      </w:pPr>
    </w:p>
    <w:p w14:paraId="156ABEA7" w14:textId="4186589C" w:rsidR="002E184E" w:rsidRPr="007504E6" w:rsidRDefault="002E184E" w:rsidP="002E184E">
      <w:pPr>
        <w:ind w:firstLine="0"/>
        <w:jc w:val="left"/>
        <w:rPr>
          <w:rFonts w:ascii="Times New Roman" w:hAnsi="Times New Roman" w:cs="Times New Roman"/>
          <w:lang w:val="en-GB"/>
        </w:rPr>
      </w:pPr>
    </w:p>
    <w:p w14:paraId="742D0974" w14:textId="65932D90" w:rsidR="002E184E" w:rsidRPr="007504E6" w:rsidRDefault="002E184E" w:rsidP="002E184E">
      <w:pPr>
        <w:ind w:firstLine="0"/>
        <w:jc w:val="left"/>
        <w:rPr>
          <w:rFonts w:ascii="Times New Roman" w:hAnsi="Times New Roman" w:cs="Times New Roman"/>
          <w:lang w:val="en-GB"/>
        </w:rPr>
      </w:pPr>
    </w:p>
    <w:p w14:paraId="56E1D6D9" w14:textId="6D54BAE6" w:rsidR="002E184E" w:rsidRPr="007504E6" w:rsidRDefault="002E184E" w:rsidP="002E184E">
      <w:pPr>
        <w:spacing w:line="240" w:lineRule="auto"/>
        <w:ind w:firstLine="0"/>
        <w:jc w:val="left"/>
        <w:rPr>
          <w:rFonts w:ascii="Times New Roman" w:hAnsi="Times New Roman" w:cs="Times New Roman"/>
          <w:lang w:val="en-GB"/>
        </w:rPr>
      </w:pPr>
    </w:p>
    <w:p w14:paraId="54AAEFB9" w14:textId="15155F54" w:rsidR="002E184E" w:rsidRPr="007504E6" w:rsidRDefault="002E184E" w:rsidP="002E184E">
      <w:pPr>
        <w:spacing w:line="240" w:lineRule="auto"/>
        <w:ind w:firstLine="0"/>
        <w:jc w:val="left"/>
        <w:rPr>
          <w:rFonts w:ascii="Times New Roman" w:hAnsi="Times New Roman" w:cs="Times New Roman"/>
          <w:lang w:val="en-GB"/>
        </w:rPr>
      </w:pPr>
    </w:p>
    <w:p w14:paraId="7C5DAAFE" w14:textId="4242F3B8" w:rsidR="002E184E" w:rsidRPr="007504E6" w:rsidRDefault="002E184E" w:rsidP="002E184E">
      <w:pPr>
        <w:spacing w:line="240" w:lineRule="auto"/>
        <w:ind w:firstLine="0"/>
        <w:jc w:val="left"/>
        <w:rPr>
          <w:rFonts w:ascii="Times New Roman" w:hAnsi="Times New Roman" w:cs="Times New Roman"/>
          <w:lang w:val="en-GB"/>
        </w:rPr>
      </w:pPr>
    </w:p>
    <w:p w14:paraId="33D61B88" w14:textId="0FCAAA19" w:rsidR="002E184E" w:rsidRPr="007504E6" w:rsidRDefault="002E184E" w:rsidP="002E184E">
      <w:pPr>
        <w:spacing w:line="240" w:lineRule="auto"/>
        <w:ind w:firstLine="0"/>
        <w:jc w:val="left"/>
        <w:rPr>
          <w:rFonts w:ascii="Times New Roman" w:hAnsi="Times New Roman" w:cs="Times New Roman"/>
          <w:lang w:val="en-GB"/>
        </w:rPr>
      </w:pPr>
    </w:p>
    <w:p w14:paraId="4F6ABF41" w14:textId="12C5E926" w:rsidR="002E184E" w:rsidRPr="007504E6" w:rsidRDefault="002E184E" w:rsidP="002E184E">
      <w:pPr>
        <w:spacing w:line="240" w:lineRule="auto"/>
        <w:ind w:firstLine="0"/>
        <w:jc w:val="left"/>
        <w:rPr>
          <w:rFonts w:ascii="Times New Roman" w:hAnsi="Times New Roman" w:cs="Times New Roman"/>
          <w:lang w:val="en-GB"/>
        </w:rPr>
      </w:pPr>
    </w:p>
    <w:p w14:paraId="7AEB7F24" w14:textId="77777777" w:rsidR="002E184E" w:rsidRPr="007504E6" w:rsidRDefault="002E184E" w:rsidP="002E184E">
      <w:pPr>
        <w:spacing w:line="240" w:lineRule="auto"/>
        <w:ind w:firstLine="0"/>
        <w:jc w:val="left"/>
        <w:rPr>
          <w:rFonts w:ascii="Times New Roman" w:hAnsi="Times New Roman" w:cs="Times New Roman"/>
          <w:lang w:val="en-GB"/>
        </w:rPr>
      </w:pPr>
    </w:p>
    <w:p w14:paraId="4BAD6C7E" w14:textId="77777777" w:rsidR="002E184E" w:rsidRPr="007504E6" w:rsidRDefault="002E184E" w:rsidP="002E184E">
      <w:pPr>
        <w:spacing w:line="240" w:lineRule="auto"/>
        <w:ind w:firstLine="0"/>
        <w:jc w:val="left"/>
        <w:rPr>
          <w:rFonts w:ascii="Times New Roman" w:hAnsi="Times New Roman" w:cs="Times New Roman"/>
          <w:lang w:val="en-GB"/>
        </w:rPr>
      </w:pPr>
    </w:p>
    <w:p w14:paraId="3464276C" w14:textId="4B10F5F2" w:rsidR="002E184E" w:rsidRPr="007504E6" w:rsidRDefault="002E184E" w:rsidP="002E184E">
      <w:pPr>
        <w:spacing w:line="240" w:lineRule="auto"/>
        <w:ind w:firstLine="0"/>
        <w:jc w:val="left"/>
        <w:rPr>
          <w:rFonts w:ascii="Times New Roman" w:hAnsi="Times New Roman" w:cs="Times New Roman"/>
          <w:lang w:val="en-GB"/>
        </w:rPr>
      </w:pPr>
    </w:p>
    <w:p w14:paraId="64B8335B" w14:textId="09972039" w:rsidR="009B15C6" w:rsidRPr="007504E6" w:rsidRDefault="009B15C6" w:rsidP="002E184E">
      <w:pPr>
        <w:spacing w:line="240" w:lineRule="auto"/>
        <w:ind w:firstLine="0"/>
        <w:jc w:val="left"/>
        <w:rPr>
          <w:rFonts w:ascii="Times New Roman" w:hAnsi="Times New Roman" w:cs="Times New Roman"/>
          <w:lang w:val="en-GB"/>
        </w:rPr>
      </w:pPr>
    </w:p>
    <w:p w14:paraId="05BBEF58" w14:textId="15D9C522" w:rsidR="009B15C6" w:rsidRPr="007504E6" w:rsidRDefault="009B15C6" w:rsidP="002E184E">
      <w:pPr>
        <w:spacing w:line="240" w:lineRule="auto"/>
        <w:ind w:firstLine="0"/>
        <w:jc w:val="left"/>
        <w:rPr>
          <w:rFonts w:ascii="Times New Roman" w:hAnsi="Times New Roman" w:cs="Times New Roman"/>
          <w:lang w:val="en-GB"/>
        </w:rPr>
      </w:pPr>
    </w:p>
    <w:p w14:paraId="5E6C6BBD" w14:textId="769F825B" w:rsidR="009B15C6" w:rsidRPr="007504E6" w:rsidRDefault="009B15C6" w:rsidP="002E184E">
      <w:pPr>
        <w:spacing w:line="240" w:lineRule="auto"/>
        <w:ind w:firstLine="0"/>
        <w:jc w:val="left"/>
        <w:rPr>
          <w:rFonts w:ascii="Times New Roman" w:hAnsi="Times New Roman" w:cs="Times New Roman"/>
          <w:lang w:val="en-GB"/>
        </w:rPr>
      </w:pPr>
    </w:p>
    <w:p w14:paraId="185A4392" w14:textId="59DF0417" w:rsidR="009B15C6" w:rsidRPr="007504E6" w:rsidRDefault="009B15C6" w:rsidP="002E184E">
      <w:pPr>
        <w:spacing w:line="240" w:lineRule="auto"/>
        <w:ind w:firstLine="0"/>
        <w:jc w:val="left"/>
        <w:rPr>
          <w:rFonts w:ascii="Times New Roman" w:hAnsi="Times New Roman" w:cs="Times New Roman"/>
          <w:lang w:val="en-GB"/>
        </w:rPr>
      </w:pPr>
    </w:p>
    <w:p w14:paraId="5BACD9B5" w14:textId="1128D3C4" w:rsidR="009B15C6" w:rsidRPr="007504E6" w:rsidRDefault="009B15C6" w:rsidP="002E184E">
      <w:pPr>
        <w:spacing w:line="240" w:lineRule="auto"/>
        <w:ind w:firstLine="0"/>
        <w:jc w:val="left"/>
        <w:rPr>
          <w:rFonts w:ascii="Times New Roman" w:hAnsi="Times New Roman" w:cs="Times New Roman"/>
          <w:lang w:val="en-GB"/>
        </w:rPr>
      </w:pPr>
    </w:p>
    <w:p w14:paraId="6650C5F7" w14:textId="77777777" w:rsidR="009B15C6" w:rsidRPr="007504E6" w:rsidRDefault="009B15C6" w:rsidP="002E184E">
      <w:pPr>
        <w:spacing w:line="240" w:lineRule="auto"/>
        <w:ind w:firstLine="0"/>
        <w:jc w:val="left"/>
        <w:rPr>
          <w:rFonts w:ascii="Times New Roman" w:hAnsi="Times New Roman" w:cs="Times New Roman"/>
          <w:lang w:val="en-GB"/>
        </w:rPr>
      </w:pPr>
    </w:p>
    <w:p w14:paraId="53E63D33" w14:textId="77777777" w:rsidR="009B15C6" w:rsidRPr="007504E6" w:rsidRDefault="009B15C6" w:rsidP="002E184E">
      <w:pPr>
        <w:spacing w:line="240" w:lineRule="auto"/>
        <w:ind w:firstLine="0"/>
        <w:jc w:val="left"/>
        <w:rPr>
          <w:rFonts w:ascii="Times New Roman" w:hAnsi="Times New Roman" w:cs="Times New Roman"/>
          <w:sz w:val="16"/>
          <w:szCs w:val="16"/>
          <w:lang w:val="en-GB"/>
        </w:rPr>
      </w:pPr>
    </w:p>
    <w:p w14:paraId="5951DB5B" w14:textId="62F16A3C" w:rsidR="009B15C6" w:rsidRPr="007504E6" w:rsidRDefault="009B15C6" w:rsidP="002E184E">
      <w:pPr>
        <w:spacing w:line="240" w:lineRule="auto"/>
        <w:ind w:firstLine="0"/>
        <w:jc w:val="left"/>
        <w:rPr>
          <w:rFonts w:ascii="Times New Roman" w:hAnsi="Times New Roman" w:cs="Times New Roman"/>
          <w:sz w:val="16"/>
          <w:szCs w:val="16"/>
          <w:lang w:val="en-GB"/>
        </w:rPr>
      </w:pPr>
    </w:p>
    <w:p w14:paraId="579D430D" w14:textId="77777777" w:rsidR="009B15C6" w:rsidRPr="007504E6" w:rsidRDefault="009B15C6" w:rsidP="002E184E">
      <w:pPr>
        <w:spacing w:line="240" w:lineRule="auto"/>
        <w:ind w:firstLine="0"/>
        <w:jc w:val="left"/>
        <w:rPr>
          <w:rFonts w:ascii="Times New Roman" w:hAnsi="Times New Roman" w:cs="Times New Roman"/>
          <w:sz w:val="16"/>
          <w:szCs w:val="16"/>
          <w:lang w:val="en-GB"/>
        </w:rPr>
      </w:pPr>
    </w:p>
    <w:p w14:paraId="07B4AF35" w14:textId="77777777" w:rsidR="009B15C6" w:rsidRPr="007504E6" w:rsidRDefault="009B15C6" w:rsidP="002E184E">
      <w:pPr>
        <w:spacing w:line="240" w:lineRule="auto"/>
        <w:ind w:firstLine="0"/>
        <w:jc w:val="left"/>
        <w:rPr>
          <w:rFonts w:ascii="Times New Roman" w:hAnsi="Times New Roman" w:cs="Times New Roman"/>
          <w:sz w:val="16"/>
          <w:szCs w:val="16"/>
          <w:lang w:val="en-GB"/>
        </w:rPr>
      </w:pPr>
    </w:p>
    <w:p w14:paraId="04D75532" w14:textId="5B2ED20A" w:rsidR="009B15C6" w:rsidRPr="007504E6" w:rsidRDefault="009B15C6" w:rsidP="002E184E">
      <w:pPr>
        <w:spacing w:line="240" w:lineRule="auto"/>
        <w:ind w:firstLine="0"/>
        <w:jc w:val="left"/>
        <w:rPr>
          <w:rFonts w:ascii="Times New Roman" w:hAnsi="Times New Roman" w:cs="Times New Roman"/>
          <w:sz w:val="16"/>
          <w:szCs w:val="16"/>
          <w:lang w:val="en-GB"/>
        </w:rPr>
      </w:pPr>
    </w:p>
    <w:p w14:paraId="235D2633" w14:textId="17748A38" w:rsidR="009B15C6" w:rsidRPr="007504E6" w:rsidRDefault="009B15C6" w:rsidP="002E184E">
      <w:pPr>
        <w:spacing w:line="240" w:lineRule="auto"/>
        <w:ind w:firstLine="0"/>
        <w:jc w:val="left"/>
        <w:rPr>
          <w:rFonts w:ascii="Times New Roman" w:hAnsi="Times New Roman" w:cs="Times New Roman"/>
          <w:sz w:val="16"/>
          <w:szCs w:val="16"/>
          <w:lang w:val="en-GB"/>
        </w:rPr>
      </w:pPr>
    </w:p>
    <w:p w14:paraId="5C63A6FF" w14:textId="03555B63" w:rsidR="009B15C6" w:rsidRPr="007504E6" w:rsidRDefault="009B15C6" w:rsidP="002E184E">
      <w:pPr>
        <w:spacing w:line="240" w:lineRule="auto"/>
        <w:ind w:firstLine="0"/>
        <w:jc w:val="left"/>
        <w:rPr>
          <w:rFonts w:ascii="Times New Roman" w:hAnsi="Times New Roman" w:cs="Times New Roman"/>
          <w:sz w:val="16"/>
          <w:szCs w:val="16"/>
          <w:lang w:val="en-GB"/>
        </w:rPr>
      </w:pPr>
    </w:p>
    <w:p w14:paraId="0807F24A" w14:textId="126C9814" w:rsidR="009B15C6" w:rsidRPr="007504E6" w:rsidRDefault="009B15C6" w:rsidP="002E184E">
      <w:pPr>
        <w:spacing w:line="240" w:lineRule="auto"/>
        <w:ind w:firstLine="0"/>
        <w:jc w:val="left"/>
        <w:rPr>
          <w:rFonts w:ascii="Times New Roman" w:hAnsi="Times New Roman" w:cs="Times New Roman"/>
          <w:sz w:val="16"/>
          <w:szCs w:val="16"/>
          <w:lang w:val="en-GB"/>
        </w:rPr>
      </w:pPr>
    </w:p>
    <w:p w14:paraId="3257997A" w14:textId="2EAE3E05" w:rsidR="009B15C6" w:rsidRPr="007504E6" w:rsidRDefault="009B15C6" w:rsidP="002E184E">
      <w:pPr>
        <w:spacing w:line="240" w:lineRule="auto"/>
        <w:ind w:firstLine="0"/>
        <w:jc w:val="left"/>
        <w:rPr>
          <w:rFonts w:ascii="Times New Roman" w:hAnsi="Times New Roman" w:cs="Times New Roman"/>
          <w:sz w:val="16"/>
          <w:szCs w:val="16"/>
          <w:lang w:val="en-GB"/>
        </w:rPr>
      </w:pPr>
    </w:p>
    <w:p w14:paraId="176F2D57" w14:textId="77777777" w:rsidR="009B15C6" w:rsidRPr="007504E6" w:rsidRDefault="009B15C6" w:rsidP="002E184E">
      <w:pPr>
        <w:spacing w:line="240" w:lineRule="auto"/>
        <w:ind w:firstLine="0"/>
        <w:jc w:val="left"/>
        <w:rPr>
          <w:rFonts w:ascii="Times New Roman" w:hAnsi="Times New Roman" w:cs="Times New Roman"/>
          <w:sz w:val="16"/>
          <w:szCs w:val="16"/>
          <w:lang w:val="en-GB"/>
        </w:rPr>
      </w:pPr>
    </w:p>
    <w:p w14:paraId="3E6CEC3B" w14:textId="77777777" w:rsidR="009B15C6" w:rsidRPr="007504E6" w:rsidRDefault="009B15C6" w:rsidP="002E184E">
      <w:pPr>
        <w:spacing w:line="240" w:lineRule="auto"/>
        <w:ind w:firstLine="0"/>
        <w:jc w:val="left"/>
        <w:rPr>
          <w:rFonts w:ascii="Times New Roman" w:hAnsi="Times New Roman" w:cs="Times New Roman"/>
          <w:sz w:val="16"/>
          <w:szCs w:val="16"/>
          <w:lang w:val="en-GB"/>
        </w:rPr>
      </w:pPr>
    </w:p>
    <w:p w14:paraId="0AD40555" w14:textId="77777777" w:rsidR="00064F1B" w:rsidRPr="007504E6" w:rsidRDefault="00064F1B" w:rsidP="00064F1B">
      <w:pPr>
        <w:spacing w:line="240" w:lineRule="auto"/>
        <w:ind w:firstLine="0"/>
        <w:jc w:val="left"/>
        <w:rPr>
          <w:rFonts w:ascii="Times New Roman" w:hAnsi="Times New Roman" w:cs="Times New Roman"/>
          <w:sz w:val="16"/>
          <w:szCs w:val="16"/>
          <w:lang w:val="en-GB"/>
        </w:rPr>
      </w:pPr>
      <w:r w:rsidRPr="007504E6">
        <w:rPr>
          <w:rFonts w:ascii="Times New Roman" w:hAnsi="Times New Roman" w:cs="Times New Roman"/>
          <w:sz w:val="16"/>
          <w:szCs w:val="16"/>
          <w:lang w:val="en-GB"/>
        </w:rPr>
        <w:t>Research client: Ministry of Economics of the Republic of Latvia. Study ID. No. EM 2021/15</w:t>
      </w:r>
    </w:p>
    <w:p w14:paraId="02DD42B5" w14:textId="77777777" w:rsidR="00064F1B" w:rsidRPr="007504E6" w:rsidRDefault="00064F1B" w:rsidP="00064F1B">
      <w:pPr>
        <w:spacing w:line="240" w:lineRule="auto"/>
        <w:ind w:firstLine="0"/>
        <w:jc w:val="left"/>
        <w:rPr>
          <w:rFonts w:ascii="Times New Roman" w:hAnsi="Times New Roman" w:cs="Times New Roman"/>
          <w:sz w:val="16"/>
          <w:szCs w:val="16"/>
          <w:lang w:val="en-GB"/>
        </w:rPr>
      </w:pPr>
    </w:p>
    <w:p w14:paraId="7D54CF66" w14:textId="29AABF33" w:rsidR="00064F1B" w:rsidRPr="007504E6" w:rsidRDefault="00064F1B" w:rsidP="00064F1B">
      <w:pPr>
        <w:spacing w:line="240" w:lineRule="auto"/>
        <w:ind w:firstLine="0"/>
        <w:jc w:val="left"/>
        <w:rPr>
          <w:rFonts w:ascii="Times New Roman" w:hAnsi="Times New Roman" w:cs="Times New Roman"/>
          <w:sz w:val="16"/>
          <w:szCs w:val="16"/>
          <w:lang w:val="en-GB"/>
        </w:rPr>
      </w:pPr>
      <w:r w:rsidRPr="007504E6">
        <w:rPr>
          <w:rFonts w:ascii="Times New Roman" w:hAnsi="Times New Roman" w:cs="Times New Roman"/>
          <w:sz w:val="16"/>
          <w:szCs w:val="16"/>
          <w:lang w:val="en-GB"/>
        </w:rPr>
        <w:t xml:space="preserve">Researcher: InnoMatrix SIA | Reg. no. 40103264228 </w:t>
      </w:r>
    </w:p>
    <w:p w14:paraId="39A57E5C" w14:textId="77777777" w:rsidR="00064F1B" w:rsidRPr="007504E6" w:rsidRDefault="00064F1B" w:rsidP="00064F1B">
      <w:pPr>
        <w:spacing w:line="240" w:lineRule="auto"/>
        <w:ind w:firstLine="0"/>
        <w:jc w:val="left"/>
        <w:rPr>
          <w:rFonts w:ascii="Times New Roman" w:hAnsi="Times New Roman" w:cs="Times New Roman"/>
          <w:sz w:val="16"/>
          <w:szCs w:val="16"/>
          <w:lang w:val="en-GB"/>
        </w:rPr>
      </w:pPr>
    </w:p>
    <w:p w14:paraId="1CED5508" w14:textId="77777777" w:rsidR="00064F1B" w:rsidRPr="007504E6" w:rsidRDefault="00064F1B" w:rsidP="00064F1B">
      <w:pPr>
        <w:spacing w:line="240" w:lineRule="auto"/>
        <w:ind w:firstLine="0"/>
        <w:jc w:val="left"/>
        <w:rPr>
          <w:rFonts w:ascii="Times New Roman" w:hAnsi="Times New Roman" w:cs="Times New Roman"/>
          <w:sz w:val="16"/>
          <w:szCs w:val="16"/>
          <w:lang w:val="en-GB"/>
        </w:rPr>
      </w:pPr>
      <w:r w:rsidRPr="007504E6">
        <w:rPr>
          <w:rFonts w:ascii="Times New Roman" w:hAnsi="Times New Roman" w:cs="Times New Roman"/>
          <w:sz w:val="16"/>
          <w:szCs w:val="16"/>
          <w:lang w:val="en-GB"/>
        </w:rPr>
        <w:t>The study was completed in July 2021. An expert survey was conducted in May and June 2021.</w:t>
      </w:r>
    </w:p>
    <w:p w14:paraId="57E3E3EE" w14:textId="77777777" w:rsidR="00064F1B" w:rsidRPr="007504E6" w:rsidRDefault="00064F1B" w:rsidP="00064F1B">
      <w:pPr>
        <w:spacing w:line="240" w:lineRule="auto"/>
        <w:ind w:firstLine="0"/>
        <w:jc w:val="left"/>
        <w:rPr>
          <w:rFonts w:ascii="Times New Roman" w:hAnsi="Times New Roman" w:cs="Times New Roman"/>
          <w:sz w:val="16"/>
          <w:szCs w:val="16"/>
          <w:lang w:val="en-GB"/>
        </w:rPr>
      </w:pPr>
    </w:p>
    <w:p w14:paraId="5CABFB00" w14:textId="77777777" w:rsidR="00064F1B" w:rsidRPr="007504E6" w:rsidRDefault="00064F1B" w:rsidP="00064F1B">
      <w:pPr>
        <w:spacing w:line="240" w:lineRule="auto"/>
        <w:ind w:firstLine="0"/>
        <w:jc w:val="left"/>
        <w:rPr>
          <w:rFonts w:ascii="Times New Roman" w:hAnsi="Times New Roman" w:cs="Times New Roman"/>
          <w:sz w:val="16"/>
          <w:szCs w:val="16"/>
          <w:lang w:val="en-GB"/>
        </w:rPr>
      </w:pPr>
      <w:r w:rsidRPr="007504E6">
        <w:rPr>
          <w:rFonts w:ascii="Times New Roman" w:hAnsi="Times New Roman" w:cs="Times New Roman"/>
          <w:sz w:val="16"/>
          <w:szCs w:val="16"/>
          <w:lang w:val="en-GB"/>
        </w:rPr>
        <w:t>The study is based on the methodology developed in 2018, which is included in the final report of the study.</w:t>
      </w:r>
    </w:p>
    <w:p w14:paraId="4CC90B29" w14:textId="77777777" w:rsidR="00064F1B" w:rsidRPr="007504E6" w:rsidRDefault="00064F1B" w:rsidP="00064F1B">
      <w:pPr>
        <w:spacing w:line="240" w:lineRule="auto"/>
        <w:ind w:firstLine="0"/>
        <w:jc w:val="left"/>
        <w:rPr>
          <w:rFonts w:ascii="Times New Roman" w:hAnsi="Times New Roman" w:cs="Times New Roman"/>
          <w:sz w:val="16"/>
          <w:szCs w:val="16"/>
          <w:lang w:val="en-GB"/>
        </w:rPr>
      </w:pPr>
    </w:p>
    <w:p w14:paraId="45C2163A" w14:textId="31230B4B" w:rsidR="002E184E" w:rsidRPr="007504E6" w:rsidRDefault="00064F1B" w:rsidP="00064F1B">
      <w:pPr>
        <w:spacing w:line="240" w:lineRule="auto"/>
        <w:ind w:firstLine="0"/>
        <w:jc w:val="left"/>
        <w:rPr>
          <w:rFonts w:ascii="Times New Roman" w:hAnsi="Times New Roman" w:cs="Times New Roman"/>
          <w:sz w:val="16"/>
          <w:szCs w:val="16"/>
          <w:lang w:val="en-GB"/>
        </w:rPr>
      </w:pPr>
      <w:r w:rsidRPr="007504E6">
        <w:rPr>
          <w:rFonts w:ascii="Times New Roman" w:hAnsi="Times New Roman" w:cs="Times New Roman"/>
          <w:sz w:val="16"/>
          <w:szCs w:val="16"/>
          <w:lang w:val="en-GB"/>
        </w:rPr>
        <w:t>Neither the Ministry of Economics nor any other person is responsible for the further use of this information.</w:t>
      </w:r>
    </w:p>
    <w:p w14:paraId="28751616" w14:textId="77777777" w:rsidR="00064F1B" w:rsidRPr="007504E6" w:rsidRDefault="00064F1B" w:rsidP="00064F1B">
      <w:pPr>
        <w:spacing w:line="240" w:lineRule="auto"/>
        <w:ind w:firstLine="0"/>
        <w:jc w:val="left"/>
        <w:rPr>
          <w:rFonts w:ascii="Times New Roman" w:hAnsi="Times New Roman" w:cs="Times New Roman"/>
          <w:sz w:val="16"/>
          <w:szCs w:val="16"/>
          <w:lang w:val="en-GB"/>
        </w:rPr>
      </w:pPr>
    </w:p>
    <w:p w14:paraId="45AA7B92" w14:textId="77777777" w:rsidR="005D34A0" w:rsidRPr="007504E6" w:rsidRDefault="002E184E" w:rsidP="005D34A0">
      <w:pPr>
        <w:spacing w:line="240" w:lineRule="auto"/>
        <w:ind w:firstLine="0"/>
        <w:jc w:val="left"/>
        <w:rPr>
          <w:rFonts w:ascii="Times New Roman" w:hAnsi="Times New Roman" w:cs="Times New Roman"/>
          <w:sz w:val="16"/>
          <w:szCs w:val="16"/>
          <w:lang w:val="en-GB"/>
        </w:rPr>
      </w:pPr>
      <w:r w:rsidRPr="007504E6">
        <w:rPr>
          <w:rFonts w:ascii="Times New Roman" w:hAnsi="Times New Roman" w:cs="Times New Roman"/>
          <w:sz w:val="16"/>
          <w:szCs w:val="16"/>
          <w:lang w:val="en-GB"/>
        </w:rPr>
        <w:t xml:space="preserve">© </w:t>
      </w:r>
      <w:r w:rsidR="005D34A0" w:rsidRPr="007504E6">
        <w:rPr>
          <w:rFonts w:ascii="Times New Roman" w:hAnsi="Times New Roman" w:cs="Times New Roman"/>
          <w:sz w:val="16"/>
          <w:szCs w:val="16"/>
          <w:lang w:val="en-GB"/>
        </w:rPr>
        <w:t>Ministry of Economics of the Republic of Latvia, 2021</w:t>
      </w:r>
    </w:p>
    <w:p w14:paraId="38537186" w14:textId="77777777" w:rsidR="005D34A0" w:rsidRPr="007504E6" w:rsidRDefault="005D34A0" w:rsidP="005D34A0">
      <w:pPr>
        <w:spacing w:line="240" w:lineRule="auto"/>
        <w:ind w:firstLine="0"/>
        <w:jc w:val="left"/>
        <w:rPr>
          <w:rFonts w:ascii="Times New Roman" w:hAnsi="Times New Roman" w:cs="Times New Roman"/>
          <w:sz w:val="16"/>
          <w:szCs w:val="16"/>
          <w:lang w:val="en-GB"/>
        </w:rPr>
      </w:pPr>
      <w:r w:rsidRPr="007504E6">
        <w:rPr>
          <w:rFonts w:ascii="Times New Roman" w:hAnsi="Times New Roman" w:cs="Times New Roman"/>
          <w:sz w:val="16"/>
          <w:szCs w:val="16"/>
          <w:lang w:val="en-GB"/>
        </w:rPr>
        <w:t>Reuse is allowed if the source is specified.</w:t>
      </w:r>
    </w:p>
    <w:p w14:paraId="5411D423" w14:textId="107E89DB" w:rsidR="003C3FE6" w:rsidRPr="007504E6" w:rsidRDefault="005D34A0" w:rsidP="005D34A0">
      <w:pPr>
        <w:spacing w:line="240" w:lineRule="auto"/>
        <w:ind w:firstLine="0"/>
        <w:jc w:val="left"/>
        <w:rPr>
          <w:rFonts w:ascii="Times New Roman" w:hAnsi="Times New Roman" w:cs="Times New Roman"/>
          <w:sz w:val="16"/>
          <w:szCs w:val="16"/>
          <w:lang w:val="en-GB"/>
        </w:rPr>
      </w:pPr>
      <w:r w:rsidRPr="007504E6">
        <w:rPr>
          <w:rFonts w:ascii="Times New Roman" w:hAnsi="Times New Roman" w:cs="Times New Roman"/>
          <w:sz w:val="16"/>
          <w:szCs w:val="16"/>
          <w:lang w:val="en-GB"/>
        </w:rPr>
        <w:t>For more information, please visit</w:t>
      </w:r>
      <w:r w:rsidR="002E184E" w:rsidRPr="007504E6">
        <w:rPr>
          <w:rFonts w:ascii="Times New Roman" w:hAnsi="Times New Roman" w:cs="Times New Roman"/>
          <w:sz w:val="16"/>
          <w:szCs w:val="16"/>
          <w:lang w:val="en-GB"/>
        </w:rPr>
        <w:t xml:space="preserve">: </w:t>
      </w:r>
      <w:hyperlink r:id="rId18" w:history="1">
        <w:r w:rsidRPr="007504E6">
          <w:rPr>
            <w:rStyle w:val="Hipersaite"/>
            <w:rFonts w:ascii="Times New Roman" w:hAnsi="Times New Roman" w:cs="Times New Roman"/>
            <w:sz w:val="16"/>
            <w:szCs w:val="16"/>
            <w:lang w:val="en-GB"/>
          </w:rPr>
          <w:t>https://www.em.gov.lv/en/construction</w:t>
        </w:r>
      </w:hyperlink>
    </w:p>
    <w:p w14:paraId="5511EA3B" w14:textId="7D0054E6" w:rsidR="009B15C6" w:rsidRPr="007504E6" w:rsidRDefault="009B15C6" w:rsidP="002E184E">
      <w:pPr>
        <w:spacing w:line="240" w:lineRule="auto"/>
        <w:ind w:firstLine="0"/>
        <w:jc w:val="left"/>
        <w:rPr>
          <w:rFonts w:ascii="Times New Roman" w:hAnsi="Times New Roman" w:cs="Times New Roman"/>
          <w:lang w:val="en-GB"/>
        </w:rPr>
      </w:pPr>
    </w:p>
    <w:p w14:paraId="4D7FEF42" w14:textId="33A14194" w:rsidR="009B15C6" w:rsidRPr="007504E6" w:rsidRDefault="00740D03" w:rsidP="009B15C6">
      <w:pPr>
        <w:spacing w:line="240" w:lineRule="auto"/>
        <w:ind w:firstLine="0"/>
        <w:rPr>
          <w:rFonts w:ascii="Times New Roman" w:hAnsi="Times New Roman" w:cs="Times New Roman"/>
          <w:sz w:val="16"/>
          <w:szCs w:val="16"/>
          <w:lang w:val="en-GB"/>
        </w:rPr>
      </w:pPr>
      <w:r w:rsidRPr="007504E6">
        <w:rPr>
          <w:rFonts w:ascii="Times New Roman" w:hAnsi="Times New Roman" w:cs="Times New Roman"/>
          <w:sz w:val="16"/>
          <w:szCs w:val="16"/>
          <w:lang w:val="en-GB"/>
        </w:rPr>
        <w:t>The research report includes information obtained from several primary and secondary information sources, including the Ministry of Finance of the Republic of Latvia (MoF) and the Central Statistical Bureau (CSB). The quality and adequacy of the data received from the FM and the CSB are accepted as optimal, without the authors checking the sources of data. The circle of research experts was represented by Latvian civil society organizations, public administration, academic and industrial organizations and companies in the field of construction. A detailed list of experts and the organizations and companies they represent is available in the Study Appendix. The number of experts, specializations and the sample of organizations they represent correspond to a statistically representative population.</w:t>
      </w:r>
    </w:p>
    <w:p w14:paraId="006039F8" w14:textId="77777777" w:rsidR="00740D03" w:rsidRPr="007504E6" w:rsidRDefault="00740D03" w:rsidP="009B15C6">
      <w:pPr>
        <w:spacing w:line="240" w:lineRule="auto"/>
        <w:ind w:firstLine="0"/>
        <w:rPr>
          <w:rFonts w:ascii="Times New Roman" w:hAnsi="Times New Roman" w:cs="Times New Roman"/>
          <w:sz w:val="16"/>
          <w:szCs w:val="16"/>
          <w:lang w:val="en-GB"/>
        </w:rPr>
      </w:pPr>
    </w:p>
    <w:p w14:paraId="400A9ADB" w14:textId="585C9D3B" w:rsidR="009B15C6" w:rsidRPr="007504E6" w:rsidRDefault="005B4EAF" w:rsidP="009B15C6">
      <w:pPr>
        <w:spacing w:line="240" w:lineRule="auto"/>
        <w:ind w:firstLine="0"/>
        <w:rPr>
          <w:rFonts w:ascii="Times New Roman" w:hAnsi="Times New Roman" w:cs="Times New Roman"/>
          <w:sz w:val="16"/>
          <w:szCs w:val="16"/>
          <w:lang w:val="en-GB"/>
        </w:rPr>
      </w:pPr>
      <w:r w:rsidRPr="007504E6">
        <w:rPr>
          <w:rFonts w:ascii="Times New Roman" w:hAnsi="Times New Roman" w:cs="Times New Roman"/>
          <w:sz w:val="16"/>
          <w:szCs w:val="16"/>
          <w:lang w:val="en-GB"/>
        </w:rPr>
        <w:t xml:space="preserve">Within the framework of the research, the authors take responsibility for the assessment of data quality and their use in the analysis, selecting the necessary data and excluding possible inappropriate observations and data from the </w:t>
      </w:r>
      <w:proofErr w:type="spellStart"/>
      <w:r w:rsidRPr="007504E6">
        <w:rPr>
          <w:rFonts w:ascii="Times New Roman" w:hAnsi="Times New Roman" w:cs="Times New Roman"/>
          <w:sz w:val="16"/>
          <w:szCs w:val="16"/>
          <w:lang w:val="en-GB"/>
        </w:rPr>
        <w:t>analyzed</w:t>
      </w:r>
      <w:proofErr w:type="spellEnd"/>
      <w:r w:rsidRPr="007504E6">
        <w:rPr>
          <w:rFonts w:ascii="Times New Roman" w:hAnsi="Times New Roman" w:cs="Times New Roman"/>
          <w:sz w:val="16"/>
          <w:szCs w:val="16"/>
          <w:lang w:val="en-GB"/>
        </w:rPr>
        <w:t xml:space="preserve"> data set as a result of insufficient data quality. During the quality control of the received data, limitations on the availability of data have been identified, which apply both to incomplete questionnaires of experts and statistically missing observations.</w:t>
      </w:r>
      <w:r w:rsidR="009B15C6" w:rsidRPr="007504E6">
        <w:rPr>
          <w:rFonts w:ascii="Times New Roman" w:hAnsi="Times New Roman" w:cs="Times New Roman"/>
          <w:sz w:val="16"/>
          <w:szCs w:val="16"/>
          <w:lang w:val="en-GB"/>
        </w:rPr>
        <w:t xml:space="preserve"> </w:t>
      </w:r>
    </w:p>
    <w:p w14:paraId="71E3A244" w14:textId="5314858E" w:rsidR="009B15C6" w:rsidRPr="007504E6" w:rsidRDefault="00A80695" w:rsidP="009B15C6">
      <w:pPr>
        <w:spacing w:line="240" w:lineRule="auto"/>
        <w:ind w:firstLine="0"/>
        <w:rPr>
          <w:rFonts w:ascii="Times New Roman" w:hAnsi="Times New Roman" w:cs="Times New Roman"/>
          <w:sz w:val="16"/>
          <w:szCs w:val="16"/>
          <w:lang w:val="en-GB"/>
        </w:rPr>
      </w:pPr>
      <w:r w:rsidRPr="007504E6">
        <w:rPr>
          <w:rFonts w:ascii="Times New Roman" w:hAnsi="Times New Roman" w:cs="Times New Roman"/>
          <w:noProof/>
          <w:lang w:val="en-GB"/>
        </w:rPr>
        <w:drawing>
          <wp:anchor distT="0" distB="0" distL="114300" distR="114300" simplePos="0" relativeHeight="251759616" behindDoc="0" locked="0" layoutInCell="1" allowOverlap="1" wp14:anchorId="5D5F4296" wp14:editId="462C5B50">
            <wp:simplePos x="0" y="0"/>
            <wp:positionH relativeFrom="page">
              <wp:posOffset>220345</wp:posOffset>
            </wp:positionH>
            <wp:positionV relativeFrom="paragraph">
              <wp:posOffset>189865</wp:posOffset>
            </wp:positionV>
            <wp:extent cx="905400" cy="905400"/>
            <wp:effectExtent l="0" t="0" r="0" b="0"/>
            <wp:wrapNone/>
            <wp:docPr id="219" name="Graphic 219" descr="Three circles, one filled with diagon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phic 199" descr="Three circles, one filled with diagonal lines"/>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05400" cy="905400"/>
                    </a:xfrm>
                    <a:prstGeom prst="rect">
                      <a:avLst/>
                    </a:prstGeom>
                  </pic:spPr>
                </pic:pic>
              </a:graphicData>
            </a:graphic>
            <wp14:sizeRelH relativeFrom="margin">
              <wp14:pctWidth>0</wp14:pctWidth>
            </wp14:sizeRelH>
            <wp14:sizeRelV relativeFrom="margin">
              <wp14:pctHeight>0</wp14:pctHeight>
            </wp14:sizeRelV>
          </wp:anchor>
        </w:drawing>
      </w:r>
    </w:p>
    <w:p w14:paraId="5839A28F" w14:textId="07B70C11" w:rsidR="009B15C6" w:rsidRPr="007504E6" w:rsidRDefault="00D71C58" w:rsidP="009B15C6">
      <w:pPr>
        <w:spacing w:line="240" w:lineRule="auto"/>
        <w:ind w:firstLine="0"/>
        <w:rPr>
          <w:rFonts w:ascii="Times New Roman" w:hAnsi="Times New Roman" w:cs="Times New Roman"/>
          <w:sz w:val="16"/>
          <w:szCs w:val="16"/>
          <w:lang w:val="en-GB"/>
        </w:rPr>
      </w:pPr>
      <w:r w:rsidRPr="007504E6">
        <w:rPr>
          <w:rFonts w:ascii="Times New Roman" w:hAnsi="Times New Roman" w:cs="Times New Roman"/>
          <w:sz w:val="16"/>
          <w:szCs w:val="16"/>
          <w:lang w:val="en-GB"/>
        </w:rPr>
        <w:t xml:space="preserve">Research working group: </w:t>
      </w:r>
      <w:proofErr w:type="spellStart"/>
      <w:r w:rsidRPr="007504E6">
        <w:rPr>
          <w:rFonts w:ascii="Times New Roman" w:hAnsi="Times New Roman" w:cs="Times New Roman"/>
          <w:sz w:val="16"/>
          <w:szCs w:val="16"/>
          <w:lang w:val="en-GB"/>
        </w:rPr>
        <w:t>Dr.</w:t>
      </w:r>
      <w:proofErr w:type="spellEnd"/>
      <w:r w:rsidRPr="007504E6">
        <w:rPr>
          <w:rFonts w:ascii="Times New Roman" w:hAnsi="Times New Roman" w:cs="Times New Roman"/>
          <w:sz w:val="16"/>
          <w:szCs w:val="16"/>
          <w:lang w:val="en-GB"/>
        </w:rPr>
        <w:t xml:space="preserve"> oec., prof. D. Šķiltere, leading researcher; Mg. sc. oec., M. Danusevics, researcher; Mg. sc. oec., L. Brasliņa, project manager; Mg. sc. soc. I. Karsa, sociologist; Mg. sc. oec. M. </w:t>
      </w:r>
      <w:proofErr w:type="spellStart"/>
      <w:r w:rsidRPr="007504E6">
        <w:rPr>
          <w:rFonts w:ascii="Times New Roman" w:hAnsi="Times New Roman" w:cs="Times New Roman"/>
          <w:sz w:val="16"/>
          <w:szCs w:val="16"/>
          <w:lang w:val="en-GB"/>
        </w:rPr>
        <w:t>Vugule</w:t>
      </w:r>
      <w:proofErr w:type="spellEnd"/>
      <w:r w:rsidRPr="007504E6">
        <w:rPr>
          <w:rFonts w:ascii="Times New Roman" w:hAnsi="Times New Roman" w:cs="Times New Roman"/>
          <w:sz w:val="16"/>
          <w:szCs w:val="16"/>
          <w:lang w:val="en-GB"/>
        </w:rPr>
        <w:t xml:space="preserve">, sociologist; </w:t>
      </w:r>
      <w:proofErr w:type="spellStart"/>
      <w:r w:rsidRPr="007504E6">
        <w:rPr>
          <w:rFonts w:ascii="Times New Roman" w:hAnsi="Times New Roman" w:cs="Times New Roman"/>
          <w:sz w:val="16"/>
          <w:szCs w:val="16"/>
          <w:lang w:val="en-GB"/>
        </w:rPr>
        <w:t>Dr.</w:t>
      </w:r>
      <w:proofErr w:type="spellEnd"/>
      <w:r w:rsidRPr="007504E6">
        <w:rPr>
          <w:rFonts w:ascii="Times New Roman" w:hAnsi="Times New Roman" w:cs="Times New Roman"/>
          <w:sz w:val="16"/>
          <w:szCs w:val="16"/>
          <w:lang w:val="en-GB"/>
        </w:rPr>
        <w:t xml:space="preserve"> oec., prof. A. </w:t>
      </w:r>
      <w:proofErr w:type="spellStart"/>
      <w:r w:rsidRPr="007504E6">
        <w:rPr>
          <w:rFonts w:ascii="Times New Roman" w:hAnsi="Times New Roman" w:cs="Times New Roman"/>
          <w:sz w:val="16"/>
          <w:szCs w:val="16"/>
          <w:lang w:val="en-GB"/>
        </w:rPr>
        <w:t>Batraga</w:t>
      </w:r>
      <w:proofErr w:type="spellEnd"/>
      <w:r w:rsidRPr="007504E6">
        <w:rPr>
          <w:rFonts w:ascii="Times New Roman" w:hAnsi="Times New Roman" w:cs="Times New Roman"/>
          <w:sz w:val="16"/>
          <w:szCs w:val="16"/>
          <w:lang w:val="en-GB"/>
        </w:rPr>
        <w:t xml:space="preserve">, scientific reviewer; </w:t>
      </w:r>
      <w:proofErr w:type="spellStart"/>
      <w:r w:rsidRPr="007504E6">
        <w:rPr>
          <w:rFonts w:ascii="Times New Roman" w:hAnsi="Times New Roman" w:cs="Times New Roman"/>
          <w:sz w:val="16"/>
          <w:szCs w:val="16"/>
          <w:lang w:val="en-GB"/>
        </w:rPr>
        <w:t>Dr.</w:t>
      </w:r>
      <w:proofErr w:type="spellEnd"/>
      <w:r w:rsidRPr="007504E6">
        <w:rPr>
          <w:rFonts w:ascii="Times New Roman" w:hAnsi="Times New Roman" w:cs="Times New Roman"/>
          <w:sz w:val="16"/>
          <w:szCs w:val="16"/>
          <w:lang w:val="en-GB"/>
        </w:rPr>
        <w:t xml:space="preserve"> oec. Ģ. Brasliņš, scientific reviewer. Contact person for the report: Līga Brasliņa –liga@innomatrix.org | Phone - +371 26599481.</w:t>
      </w:r>
    </w:p>
    <w:p w14:paraId="3943A392" w14:textId="497AA230" w:rsidR="009B15C6" w:rsidRPr="007504E6" w:rsidRDefault="005E4522" w:rsidP="00A52753">
      <w:pPr>
        <w:spacing w:line="240" w:lineRule="auto"/>
        <w:ind w:firstLine="0"/>
        <w:rPr>
          <w:rFonts w:ascii="Times New Roman" w:hAnsi="Times New Roman" w:cs="Times New Roman"/>
          <w:sz w:val="16"/>
          <w:szCs w:val="16"/>
          <w:lang w:val="en-GB"/>
        </w:rPr>
      </w:pPr>
      <w:r w:rsidRPr="007504E6">
        <w:rPr>
          <w:rFonts w:ascii="Times New Roman" w:hAnsi="Times New Roman" w:cs="Times New Roman"/>
          <w:noProof/>
          <w:sz w:val="16"/>
          <w:szCs w:val="16"/>
          <w:lang w:val="en-GB"/>
        </w:rPr>
        <mc:AlternateContent>
          <mc:Choice Requires="wps">
            <w:drawing>
              <wp:anchor distT="0" distB="0" distL="114300" distR="114300" simplePos="0" relativeHeight="251773952" behindDoc="0" locked="0" layoutInCell="1" allowOverlap="1" wp14:anchorId="20A78081" wp14:editId="0DC7CCB3">
                <wp:simplePos x="0" y="0"/>
                <wp:positionH relativeFrom="margin">
                  <wp:posOffset>-620973</wp:posOffset>
                </wp:positionH>
                <wp:positionV relativeFrom="paragraph">
                  <wp:posOffset>471018</wp:posOffset>
                </wp:positionV>
                <wp:extent cx="7060517" cy="354330"/>
                <wp:effectExtent l="0" t="0" r="7620" b="7620"/>
                <wp:wrapNone/>
                <wp:docPr id="40" name="Rectangle 40"/>
                <wp:cNvGraphicFramePr/>
                <a:graphic xmlns:a="http://schemas.openxmlformats.org/drawingml/2006/main">
                  <a:graphicData uri="http://schemas.microsoft.com/office/word/2010/wordprocessingShape">
                    <wps:wsp>
                      <wps:cNvSpPr/>
                      <wps:spPr>
                        <a:xfrm>
                          <a:off x="0" y="0"/>
                          <a:ext cx="7060517" cy="3543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B0803" id="Rectangle 40" o:spid="_x0000_s1026" style="position:absolute;margin-left:-48.9pt;margin-top:37.1pt;width:555.95pt;height:27.9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" fillcolor="white [3212]" stroked="f" strokeweight="1pt">
                <w10:wrap anchorx="margin"/>
              </v:rect>
            </w:pict>
          </mc:Fallback>
        </mc:AlternateContent>
      </w:r>
      <w:r w:rsidR="009B15C6" w:rsidRPr="007504E6">
        <w:rPr>
          <w:rFonts w:ascii="Times New Roman" w:hAnsi="Times New Roman" w:cs="Times New Roman"/>
          <w:noProof/>
          <w:color w:val="0D0D0D" w:themeColor="text1" w:themeTint="F2"/>
          <w:sz w:val="16"/>
          <w:szCs w:val="16"/>
          <w:lang w:val="en-GB"/>
        </w:rPr>
        <w:drawing>
          <wp:anchor distT="0" distB="0" distL="114300" distR="114300" simplePos="0" relativeHeight="251757568" behindDoc="0" locked="0" layoutInCell="1" allowOverlap="1" wp14:anchorId="0BC6A77B" wp14:editId="50EB57B1">
            <wp:simplePos x="0" y="0"/>
            <wp:positionH relativeFrom="margin">
              <wp:align>left</wp:align>
            </wp:positionH>
            <wp:positionV relativeFrom="paragraph">
              <wp:posOffset>149860</wp:posOffset>
            </wp:positionV>
            <wp:extent cx="6699288" cy="45719"/>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699288" cy="45719"/>
                    </a:xfrm>
                    <a:prstGeom prst="rect">
                      <a:avLst/>
                    </a:prstGeom>
                  </pic:spPr>
                </pic:pic>
              </a:graphicData>
            </a:graphic>
            <wp14:sizeRelH relativeFrom="margin">
              <wp14:pctWidth>0</wp14:pctWidth>
            </wp14:sizeRelH>
            <wp14:sizeRelV relativeFrom="margin">
              <wp14:pctHeight>0</wp14:pctHeight>
            </wp14:sizeRelV>
          </wp:anchor>
        </w:drawing>
      </w:r>
    </w:p>
    <w:p w14:paraId="212FDA4B" w14:textId="683B6410" w:rsidR="00867EE7" w:rsidRPr="007504E6" w:rsidRDefault="00867EE7" w:rsidP="00867EE7">
      <w:pPr>
        <w:rPr>
          <w:rFonts w:ascii="Times New Roman" w:hAnsi="Times New Roman" w:cs="Times New Roman"/>
          <w:lang w:val="en-GB"/>
        </w:rPr>
      </w:pPr>
    </w:p>
    <w:p w14:paraId="3469FAA5" w14:textId="4519CDDE" w:rsidR="000D1D1F" w:rsidRPr="007504E6" w:rsidRDefault="006D60A7" w:rsidP="00E5311E">
      <w:pPr>
        <w:rPr>
          <w:rFonts w:ascii="Times New Roman" w:hAnsi="Times New Roman" w:cs="Times New Roman"/>
          <w:b/>
          <w:bCs/>
          <w:sz w:val="24"/>
          <w:szCs w:val="24"/>
          <w:lang w:val="en-GB"/>
        </w:rPr>
      </w:pPr>
      <w:r w:rsidRPr="007504E6">
        <w:rPr>
          <w:rFonts w:ascii="Times New Roman" w:hAnsi="Times New Roman" w:cs="Times New Roman"/>
          <w:b/>
          <w:bCs/>
          <w:sz w:val="24"/>
          <w:szCs w:val="24"/>
          <w:lang w:val="en-GB"/>
        </w:rPr>
        <w:t>Abbreviations and terms used in the report</w:t>
      </w:r>
    </w:p>
    <w:p w14:paraId="60C15D3D" w14:textId="77777777" w:rsidR="000D1D1F" w:rsidRPr="007504E6" w:rsidRDefault="000D1D1F" w:rsidP="000D1D1F">
      <w:pPr>
        <w:ind w:firstLine="0"/>
        <w:rPr>
          <w:rFonts w:ascii="Times New Roman" w:hAnsi="Times New Roman" w:cs="Times New Roman"/>
          <w:lang w:val="en-GB"/>
        </w:rPr>
      </w:pPr>
    </w:p>
    <w:tbl>
      <w:tblPr>
        <w:tblStyle w:val="Vienkratabula3"/>
        <w:tblpPr w:leftFromText="180" w:rightFromText="180" w:vertAnchor="text" w:tblpY="1"/>
        <w:tblOverlap w:val="never"/>
        <w:tblW w:w="7513" w:type="dxa"/>
        <w:tblLayout w:type="fixed"/>
        <w:tblLook w:val="0000" w:firstRow="0" w:lastRow="0" w:firstColumn="0" w:lastColumn="0" w:noHBand="0" w:noVBand="0"/>
      </w:tblPr>
      <w:tblGrid>
        <w:gridCol w:w="1946"/>
        <w:gridCol w:w="5567"/>
      </w:tblGrid>
      <w:tr w:rsidR="000D1D1F" w:rsidRPr="007504E6" w14:paraId="578ED6C8" w14:textId="77777777" w:rsidTr="00A57B7B">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1946" w:type="dxa"/>
          </w:tcPr>
          <w:p w14:paraId="7522CA11" w14:textId="09EE826F" w:rsidR="000D1D1F" w:rsidRPr="007504E6" w:rsidRDefault="006D60A7" w:rsidP="00A57B7B">
            <w:pPr>
              <w:pStyle w:val="Default"/>
              <w:rPr>
                <w:rFonts w:ascii="Times New Roman" w:hAnsi="Times New Roman" w:cs="Times New Roman"/>
                <w:sz w:val="22"/>
                <w:szCs w:val="22"/>
                <w:lang w:val="en-GB"/>
              </w:rPr>
            </w:pPr>
            <w:r w:rsidRPr="007504E6">
              <w:rPr>
                <w:rFonts w:ascii="Times New Roman" w:hAnsi="Times New Roman" w:cs="Times New Roman"/>
                <w:b/>
                <w:bCs/>
                <w:sz w:val="22"/>
                <w:szCs w:val="22"/>
                <w:lang w:val="en-GB"/>
              </w:rPr>
              <w:t>Abbreviation</w:t>
            </w:r>
            <w:r w:rsidR="000D1D1F" w:rsidRPr="007504E6">
              <w:rPr>
                <w:rFonts w:ascii="Times New Roman" w:hAnsi="Times New Roman" w:cs="Times New Roman"/>
                <w:b/>
                <w:bCs/>
                <w:sz w:val="22"/>
                <w:szCs w:val="22"/>
                <w:lang w:val="en-GB"/>
              </w:rPr>
              <w:t xml:space="preserve"> </w:t>
            </w:r>
          </w:p>
        </w:tc>
        <w:tc>
          <w:tcPr>
            <w:tcW w:w="5567" w:type="dxa"/>
          </w:tcPr>
          <w:p w14:paraId="52AEF75E" w14:textId="667D7403" w:rsidR="000D1D1F" w:rsidRPr="007504E6" w:rsidRDefault="006D60A7" w:rsidP="00A57B7B">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lang w:val="en-GB"/>
              </w:rPr>
            </w:pPr>
            <w:r w:rsidRPr="007504E6">
              <w:rPr>
                <w:rFonts w:ascii="Times New Roman" w:hAnsi="Times New Roman" w:cs="Times New Roman"/>
                <w:b/>
                <w:bCs/>
                <w:sz w:val="22"/>
                <w:szCs w:val="22"/>
                <w:lang w:val="en-GB"/>
              </w:rPr>
              <w:t>Explanation</w:t>
            </w:r>
          </w:p>
          <w:p w14:paraId="1D54C178" w14:textId="77777777" w:rsidR="000D1D1F" w:rsidRPr="007504E6" w:rsidRDefault="000D1D1F" w:rsidP="00A57B7B">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p>
        </w:tc>
      </w:tr>
      <w:tr w:rsidR="00063764" w:rsidRPr="007504E6" w14:paraId="2C0DCA23" w14:textId="77777777" w:rsidTr="00A57B7B">
        <w:trPr>
          <w:trHeight w:val="93"/>
        </w:trPr>
        <w:tc>
          <w:tcPr>
            <w:cnfStyle w:val="000010000000" w:firstRow="0" w:lastRow="0" w:firstColumn="0" w:lastColumn="0" w:oddVBand="1" w:evenVBand="0" w:oddHBand="0" w:evenHBand="0" w:firstRowFirstColumn="0" w:firstRowLastColumn="0" w:lastRowFirstColumn="0" w:lastRowLastColumn="0"/>
            <w:tcW w:w="1946" w:type="dxa"/>
          </w:tcPr>
          <w:p w14:paraId="01C77972" w14:textId="7688DDA2" w:rsidR="00063764" w:rsidRPr="007504E6" w:rsidRDefault="00063764" w:rsidP="00063764">
            <w:pPr>
              <w:pStyle w:val="Default"/>
              <w:rPr>
                <w:rFonts w:asciiTheme="minorHAnsi" w:hAnsiTheme="minorHAnsi" w:cstheme="minorHAnsi"/>
                <w:sz w:val="22"/>
                <w:szCs w:val="22"/>
                <w:lang w:val="en-GB"/>
              </w:rPr>
            </w:pPr>
            <w:r w:rsidRPr="007504E6">
              <w:rPr>
                <w:rFonts w:asciiTheme="minorHAnsi" w:hAnsiTheme="minorHAnsi" w:cstheme="minorHAnsi"/>
                <w:sz w:val="22"/>
                <w:szCs w:val="22"/>
                <w:lang w:val="en-GB"/>
              </w:rPr>
              <w:t>CSP</w:t>
            </w:r>
          </w:p>
        </w:tc>
        <w:tc>
          <w:tcPr>
            <w:tcW w:w="5567" w:type="dxa"/>
          </w:tcPr>
          <w:p w14:paraId="7BAB7E38" w14:textId="77777777" w:rsidR="00063764" w:rsidRPr="007504E6" w:rsidRDefault="00063764" w:rsidP="00063764">
            <w:pPr>
              <w:pStyle w:val="Paraststmekli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7504E6">
              <w:rPr>
                <w:rFonts w:asciiTheme="minorHAnsi" w:hAnsiTheme="minorHAnsi" w:cstheme="minorHAnsi"/>
                <w:sz w:val="22"/>
                <w:szCs w:val="22"/>
                <w:lang w:val="en-GB"/>
              </w:rPr>
              <w:t>Central Statistical Bureau</w:t>
            </w:r>
          </w:p>
          <w:p w14:paraId="4EF1C48A" w14:textId="7D16199C" w:rsidR="00063764" w:rsidRPr="007504E6" w:rsidRDefault="00063764" w:rsidP="00063764">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r w:rsidRPr="007504E6">
              <w:rPr>
                <w:rFonts w:asciiTheme="minorHAnsi" w:hAnsiTheme="minorHAnsi" w:cstheme="minorHAnsi"/>
                <w:sz w:val="22"/>
                <w:szCs w:val="22"/>
                <w:lang w:val="en-GB"/>
              </w:rPr>
              <w:t> </w:t>
            </w:r>
          </w:p>
        </w:tc>
      </w:tr>
      <w:tr w:rsidR="00063764" w:rsidRPr="007504E6" w14:paraId="568AF4B9" w14:textId="77777777" w:rsidTr="00A57B7B">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1946" w:type="dxa"/>
          </w:tcPr>
          <w:p w14:paraId="53E16BD5" w14:textId="77777777" w:rsidR="00063764" w:rsidRPr="007504E6" w:rsidRDefault="00063764" w:rsidP="00063764">
            <w:pPr>
              <w:pStyle w:val="Paraststmeklis"/>
              <w:spacing w:before="0" w:beforeAutospacing="0" w:after="0" w:afterAutospacing="0"/>
              <w:rPr>
                <w:rFonts w:asciiTheme="minorHAnsi" w:hAnsiTheme="minorHAnsi" w:cstheme="minorHAnsi"/>
                <w:lang w:val="en-GB"/>
              </w:rPr>
            </w:pPr>
            <w:r w:rsidRPr="007504E6">
              <w:rPr>
                <w:rFonts w:asciiTheme="minorHAnsi" w:hAnsiTheme="minorHAnsi" w:cstheme="minorHAnsi"/>
                <w:sz w:val="22"/>
                <w:szCs w:val="22"/>
                <w:lang w:val="en-GB"/>
              </w:rPr>
              <w:t>LR</w:t>
            </w:r>
          </w:p>
          <w:p w14:paraId="162725B7" w14:textId="09F2B574" w:rsidR="00063764" w:rsidRPr="007504E6" w:rsidRDefault="00063764" w:rsidP="00063764">
            <w:pPr>
              <w:pStyle w:val="Default"/>
              <w:rPr>
                <w:rFonts w:asciiTheme="minorHAnsi" w:hAnsiTheme="minorHAnsi" w:cstheme="minorHAnsi"/>
                <w:sz w:val="22"/>
                <w:szCs w:val="22"/>
                <w:lang w:val="en-GB"/>
              </w:rPr>
            </w:pPr>
            <w:r w:rsidRPr="007504E6">
              <w:rPr>
                <w:rFonts w:asciiTheme="minorHAnsi" w:hAnsiTheme="minorHAnsi" w:cstheme="minorHAnsi"/>
                <w:sz w:val="22"/>
                <w:szCs w:val="22"/>
                <w:lang w:val="en-GB"/>
              </w:rPr>
              <w:t> </w:t>
            </w:r>
          </w:p>
        </w:tc>
        <w:tc>
          <w:tcPr>
            <w:tcW w:w="5567" w:type="dxa"/>
          </w:tcPr>
          <w:p w14:paraId="76DEA5C9" w14:textId="799FF7B1" w:rsidR="00063764" w:rsidRPr="007504E6" w:rsidRDefault="00063764" w:rsidP="00063764">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r w:rsidRPr="007504E6">
              <w:rPr>
                <w:rFonts w:asciiTheme="minorHAnsi" w:hAnsiTheme="minorHAnsi" w:cstheme="minorHAnsi"/>
                <w:sz w:val="22"/>
                <w:szCs w:val="22"/>
                <w:lang w:val="en-GB"/>
              </w:rPr>
              <w:t>Latvian republic</w:t>
            </w:r>
          </w:p>
        </w:tc>
      </w:tr>
      <w:tr w:rsidR="00063764" w:rsidRPr="007504E6" w14:paraId="366EBBD0" w14:textId="77777777" w:rsidTr="00A57B7B">
        <w:trPr>
          <w:trHeight w:val="93"/>
        </w:trPr>
        <w:tc>
          <w:tcPr>
            <w:cnfStyle w:val="000010000000" w:firstRow="0" w:lastRow="0" w:firstColumn="0" w:lastColumn="0" w:oddVBand="1" w:evenVBand="0" w:oddHBand="0" w:evenHBand="0" w:firstRowFirstColumn="0" w:firstRowLastColumn="0" w:lastRowFirstColumn="0" w:lastRowLastColumn="0"/>
            <w:tcW w:w="1946" w:type="dxa"/>
          </w:tcPr>
          <w:p w14:paraId="2BDB3BD8" w14:textId="37006770" w:rsidR="00063764" w:rsidRPr="007504E6" w:rsidRDefault="00063764" w:rsidP="00063764">
            <w:pPr>
              <w:pStyle w:val="Default"/>
              <w:rPr>
                <w:rFonts w:asciiTheme="minorHAnsi" w:hAnsiTheme="minorHAnsi" w:cstheme="minorHAnsi"/>
                <w:sz w:val="22"/>
                <w:szCs w:val="22"/>
                <w:lang w:val="en-GB"/>
              </w:rPr>
            </w:pPr>
            <w:r w:rsidRPr="007504E6">
              <w:rPr>
                <w:rFonts w:asciiTheme="minorHAnsi" w:hAnsiTheme="minorHAnsi" w:cstheme="minorHAnsi"/>
                <w:sz w:val="22"/>
                <w:szCs w:val="22"/>
                <w:lang w:val="en-GB"/>
              </w:rPr>
              <w:t>EM</w:t>
            </w:r>
          </w:p>
        </w:tc>
        <w:tc>
          <w:tcPr>
            <w:tcW w:w="5567" w:type="dxa"/>
          </w:tcPr>
          <w:p w14:paraId="258CF913" w14:textId="77777777" w:rsidR="00063764" w:rsidRPr="007504E6" w:rsidRDefault="00063764" w:rsidP="00063764">
            <w:pPr>
              <w:pStyle w:val="Paraststmekli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7504E6">
              <w:rPr>
                <w:rFonts w:asciiTheme="minorHAnsi" w:hAnsiTheme="minorHAnsi" w:cstheme="minorHAnsi"/>
                <w:sz w:val="22"/>
                <w:szCs w:val="22"/>
                <w:lang w:val="en-GB"/>
              </w:rPr>
              <w:t>Ministry of Economics of the Republic of Latvia</w:t>
            </w:r>
          </w:p>
          <w:p w14:paraId="7C251A4B" w14:textId="2C3C0906" w:rsidR="00063764" w:rsidRPr="007504E6" w:rsidRDefault="00063764" w:rsidP="00063764">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r w:rsidRPr="007504E6">
              <w:rPr>
                <w:rFonts w:asciiTheme="minorHAnsi" w:hAnsiTheme="minorHAnsi" w:cstheme="minorHAnsi"/>
                <w:sz w:val="22"/>
                <w:szCs w:val="22"/>
                <w:lang w:val="en-GB"/>
              </w:rPr>
              <w:t> </w:t>
            </w:r>
          </w:p>
        </w:tc>
      </w:tr>
      <w:tr w:rsidR="00063764" w:rsidRPr="007504E6" w14:paraId="4ED3A078" w14:textId="77777777" w:rsidTr="00A57B7B">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1946" w:type="dxa"/>
          </w:tcPr>
          <w:p w14:paraId="1632EAB9" w14:textId="77777777" w:rsidR="00063764" w:rsidRPr="007504E6" w:rsidRDefault="00063764" w:rsidP="00063764">
            <w:pPr>
              <w:pStyle w:val="Paraststmeklis"/>
              <w:spacing w:before="0" w:beforeAutospacing="0" w:after="0" w:afterAutospacing="0"/>
              <w:rPr>
                <w:rFonts w:asciiTheme="minorHAnsi" w:hAnsiTheme="minorHAnsi" w:cstheme="minorHAnsi"/>
                <w:lang w:val="en-GB"/>
              </w:rPr>
            </w:pPr>
            <w:r w:rsidRPr="007504E6">
              <w:rPr>
                <w:rFonts w:asciiTheme="minorHAnsi" w:hAnsiTheme="minorHAnsi" w:cstheme="minorHAnsi"/>
                <w:sz w:val="22"/>
                <w:szCs w:val="22"/>
                <w:lang w:val="en-GB"/>
              </w:rPr>
              <w:t>FM</w:t>
            </w:r>
          </w:p>
          <w:p w14:paraId="03737521" w14:textId="3A636FE2" w:rsidR="00063764" w:rsidRPr="007504E6" w:rsidRDefault="00063764" w:rsidP="00063764">
            <w:pPr>
              <w:pStyle w:val="Default"/>
              <w:rPr>
                <w:rFonts w:asciiTheme="minorHAnsi" w:hAnsiTheme="minorHAnsi" w:cstheme="minorHAnsi"/>
                <w:sz w:val="22"/>
                <w:szCs w:val="22"/>
                <w:lang w:val="en-GB"/>
              </w:rPr>
            </w:pPr>
            <w:r w:rsidRPr="007504E6">
              <w:rPr>
                <w:rFonts w:asciiTheme="minorHAnsi" w:hAnsiTheme="minorHAnsi" w:cstheme="minorHAnsi"/>
                <w:sz w:val="22"/>
                <w:szCs w:val="22"/>
                <w:lang w:val="en-GB"/>
              </w:rPr>
              <w:t> </w:t>
            </w:r>
          </w:p>
        </w:tc>
        <w:tc>
          <w:tcPr>
            <w:tcW w:w="5567" w:type="dxa"/>
          </w:tcPr>
          <w:p w14:paraId="7F61324D" w14:textId="7A954586" w:rsidR="00063764" w:rsidRPr="007504E6" w:rsidRDefault="00063764" w:rsidP="00063764">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r w:rsidRPr="007504E6">
              <w:rPr>
                <w:rFonts w:asciiTheme="minorHAnsi" w:hAnsiTheme="minorHAnsi" w:cstheme="minorHAnsi"/>
                <w:sz w:val="22"/>
                <w:szCs w:val="22"/>
                <w:lang w:val="en-GB"/>
              </w:rPr>
              <w:t>Ministry of Finance of the Republic of Latvia</w:t>
            </w:r>
          </w:p>
        </w:tc>
      </w:tr>
      <w:tr w:rsidR="00063764" w:rsidRPr="007504E6" w14:paraId="2D8B4064" w14:textId="77777777" w:rsidTr="00A57B7B">
        <w:trPr>
          <w:trHeight w:val="93"/>
        </w:trPr>
        <w:tc>
          <w:tcPr>
            <w:cnfStyle w:val="000010000000" w:firstRow="0" w:lastRow="0" w:firstColumn="0" w:lastColumn="0" w:oddVBand="1" w:evenVBand="0" w:oddHBand="0" w:evenHBand="0" w:firstRowFirstColumn="0" w:firstRowLastColumn="0" w:lastRowFirstColumn="0" w:lastRowLastColumn="0"/>
            <w:tcW w:w="1946" w:type="dxa"/>
          </w:tcPr>
          <w:p w14:paraId="27BFF609" w14:textId="2EBBECA9" w:rsidR="00063764" w:rsidRPr="007504E6" w:rsidRDefault="00063764" w:rsidP="00063764">
            <w:pPr>
              <w:pStyle w:val="Default"/>
              <w:rPr>
                <w:rFonts w:asciiTheme="minorHAnsi" w:hAnsiTheme="minorHAnsi" w:cstheme="minorHAnsi"/>
                <w:sz w:val="22"/>
                <w:szCs w:val="22"/>
                <w:lang w:val="en-GB"/>
              </w:rPr>
            </w:pPr>
            <w:r w:rsidRPr="007504E6">
              <w:rPr>
                <w:rFonts w:asciiTheme="minorHAnsi" w:hAnsiTheme="minorHAnsi" w:cstheme="minorHAnsi"/>
                <w:sz w:val="22"/>
                <w:szCs w:val="22"/>
                <w:lang w:val="en-GB"/>
              </w:rPr>
              <w:t>E</w:t>
            </w:r>
            <w:r w:rsidR="002B1BC1" w:rsidRPr="007504E6">
              <w:rPr>
                <w:rFonts w:asciiTheme="minorHAnsi" w:hAnsiTheme="minorHAnsi" w:cstheme="minorHAnsi"/>
                <w:sz w:val="22"/>
                <w:szCs w:val="22"/>
                <w:lang w:val="en-GB"/>
              </w:rPr>
              <w:t>U</w:t>
            </w:r>
          </w:p>
        </w:tc>
        <w:tc>
          <w:tcPr>
            <w:tcW w:w="5567" w:type="dxa"/>
          </w:tcPr>
          <w:p w14:paraId="21081F86" w14:textId="77777777" w:rsidR="00063764" w:rsidRPr="007504E6" w:rsidRDefault="00063764" w:rsidP="00063764">
            <w:pPr>
              <w:pStyle w:val="Paraststmekli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7504E6">
              <w:rPr>
                <w:rFonts w:asciiTheme="minorHAnsi" w:hAnsiTheme="minorHAnsi" w:cstheme="minorHAnsi"/>
                <w:sz w:val="22"/>
                <w:szCs w:val="22"/>
                <w:lang w:val="en-GB"/>
              </w:rPr>
              <w:t>The European Union</w:t>
            </w:r>
          </w:p>
          <w:p w14:paraId="7EC38326" w14:textId="4FAE09CE" w:rsidR="00063764" w:rsidRPr="007504E6" w:rsidRDefault="00063764" w:rsidP="00063764">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r w:rsidRPr="007504E6">
              <w:rPr>
                <w:rFonts w:asciiTheme="minorHAnsi" w:hAnsiTheme="minorHAnsi" w:cstheme="minorHAnsi"/>
                <w:sz w:val="22"/>
                <w:szCs w:val="22"/>
                <w:lang w:val="en-GB"/>
              </w:rPr>
              <w:t> </w:t>
            </w:r>
          </w:p>
        </w:tc>
      </w:tr>
      <w:tr w:rsidR="00063764" w:rsidRPr="007504E6" w14:paraId="3069F7E6" w14:textId="77777777" w:rsidTr="00A57B7B">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1946" w:type="dxa"/>
          </w:tcPr>
          <w:p w14:paraId="52321245" w14:textId="3D9C6540" w:rsidR="00063764" w:rsidRPr="007504E6" w:rsidRDefault="00063764" w:rsidP="00063764">
            <w:pPr>
              <w:pStyle w:val="Default"/>
              <w:rPr>
                <w:rFonts w:asciiTheme="minorHAnsi" w:hAnsiTheme="minorHAnsi" w:cstheme="minorHAnsi"/>
                <w:sz w:val="22"/>
                <w:szCs w:val="22"/>
                <w:lang w:val="en-GB"/>
              </w:rPr>
            </w:pPr>
            <w:r w:rsidRPr="007504E6">
              <w:rPr>
                <w:rFonts w:asciiTheme="minorHAnsi" w:hAnsiTheme="minorHAnsi" w:cstheme="minorHAnsi"/>
                <w:sz w:val="22"/>
                <w:szCs w:val="22"/>
                <w:lang w:val="en-GB"/>
              </w:rPr>
              <w:t>Eurostat</w:t>
            </w:r>
          </w:p>
        </w:tc>
        <w:tc>
          <w:tcPr>
            <w:tcW w:w="5567" w:type="dxa"/>
          </w:tcPr>
          <w:p w14:paraId="33E50FBC" w14:textId="77777777" w:rsidR="00063764" w:rsidRPr="007504E6" w:rsidRDefault="00063764" w:rsidP="00063764">
            <w:pPr>
              <w:pStyle w:val="Paraststmeklis"/>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7504E6">
              <w:rPr>
                <w:rFonts w:asciiTheme="minorHAnsi" w:hAnsiTheme="minorHAnsi" w:cstheme="minorHAnsi"/>
                <w:sz w:val="22"/>
                <w:szCs w:val="22"/>
                <w:lang w:val="en-GB"/>
              </w:rPr>
              <w:t>Statistical Office of the European Commission</w:t>
            </w:r>
          </w:p>
          <w:p w14:paraId="544D3152" w14:textId="75995DB6" w:rsidR="00063764" w:rsidRPr="007504E6" w:rsidRDefault="00063764" w:rsidP="00063764">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r w:rsidRPr="007504E6">
              <w:rPr>
                <w:rFonts w:asciiTheme="minorHAnsi" w:hAnsiTheme="minorHAnsi" w:cstheme="minorHAnsi"/>
                <w:sz w:val="22"/>
                <w:szCs w:val="22"/>
                <w:lang w:val="en-GB"/>
              </w:rPr>
              <w:t> </w:t>
            </w:r>
          </w:p>
        </w:tc>
      </w:tr>
      <w:tr w:rsidR="00063764" w:rsidRPr="007504E6" w14:paraId="2CDA1A90" w14:textId="77777777" w:rsidTr="00A57B7B">
        <w:trPr>
          <w:trHeight w:val="323"/>
        </w:trPr>
        <w:tc>
          <w:tcPr>
            <w:cnfStyle w:val="000010000000" w:firstRow="0" w:lastRow="0" w:firstColumn="0" w:lastColumn="0" w:oddVBand="1" w:evenVBand="0" w:oddHBand="0" w:evenHBand="0" w:firstRowFirstColumn="0" w:firstRowLastColumn="0" w:lastRowFirstColumn="0" w:lastRowLastColumn="0"/>
            <w:tcW w:w="1946" w:type="dxa"/>
          </w:tcPr>
          <w:p w14:paraId="6C57F59D" w14:textId="61351C5F" w:rsidR="00063764" w:rsidRPr="007504E6" w:rsidRDefault="00063764" w:rsidP="00063764">
            <w:pPr>
              <w:pStyle w:val="Default"/>
              <w:rPr>
                <w:rFonts w:ascii="Times New Roman" w:hAnsi="Times New Roman" w:cs="Times New Roman"/>
                <w:sz w:val="22"/>
                <w:szCs w:val="22"/>
                <w:lang w:val="en-GB"/>
              </w:rPr>
            </w:pPr>
            <w:r w:rsidRPr="007504E6">
              <w:rPr>
                <w:rFonts w:ascii="Times New Roman" w:hAnsi="Times New Roman" w:cs="Times New Roman"/>
                <w:sz w:val="22"/>
                <w:szCs w:val="22"/>
                <w:lang w:val="en-GB"/>
              </w:rPr>
              <w:t>CAGR</w:t>
            </w:r>
          </w:p>
        </w:tc>
        <w:tc>
          <w:tcPr>
            <w:tcW w:w="5567" w:type="dxa"/>
          </w:tcPr>
          <w:p w14:paraId="057677AF" w14:textId="66496038" w:rsidR="00063764" w:rsidRPr="007504E6" w:rsidRDefault="00063764" w:rsidP="00063764">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7504E6">
              <w:rPr>
                <w:rFonts w:ascii="Times New Roman" w:hAnsi="Times New Roman" w:cs="Times New Roman"/>
                <w:sz w:val="22"/>
                <w:szCs w:val="22"/>
                <w:lang w:val="en-GB"/>
              </w:rPr>
              <w:t>The compound increase over several years is calculated</w:t>
            </w:r>
          </w:p>
        </w:tc>
      </w:tr>
      <w:tr w:rsidR="00063764" w:rsidRPr="007504E6" w14:paraId="6DD84595" w14:textId="77777777" w:rsidTr="00A57B7B">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1946" w:type="dxa"/>
          </w:tcPr>
          <w:p w14:paraId="35C09422" w14:textId="77777777" w:rsidR="00063764" w:rsidRPr="007504E6" w:rsidRDefault="00063764" w:rsidP="00063764">
            <w:pPr>
              <w:pStyle w:val="Paraststmeklis"/>
              <w:spacing w:before="0" w:beforeAutospacing="0" w:after="0" w:afterAutospacing="0"/>
              <w:rPr>
                <w:lang w:val="en-GB"/>
              </w:rPr>
            </w:pPr>
            <w:r w:rsidRPr="007504E6">
              <w:rPr>
                <w:sz w:val="22"/>
                <w:szCs w:val="22"/>
                <w:lang w:val="en-GB"/>
              </w:rPr>
              <w:t> </w:t>
            </w:r>
          </w:p>
          <w:p w14:paraId="35E023C3" w14:textId="37FFB06C" w:rsidR="00063764" w:rsidRPr="007504E6" w:rsidRDefault="00063764" w:rsidP="00063764">
            <w:pPr>
              <w:pStyle w:val="Default"/>
              <w:rPr>
                <w:rFonts w:ascii="Times New Roman" w:hAnsi="Times New Roman" w:cs="Times New Roman"/>
                <w:sz w:val="22"/>
                <w:szCs w:val="22"/>
                <w:lang w:val="en-GB"/>
              </w:rPr>
            </w:pPr>
            <w:r w:rsidRPr="007504E6">
              <w:rPr>
                <w:rFonts w:ascii="Times New Roman" w:hAnsi="Times New Roman" w:cs="Times New Roman"/>
                <w:sz w:val="22"/>
                <w:szCs w:val="22"/>
                <w:lang w:val="en-GB"/>
              </w:rPr>
              <w:t>GDP</w:t>
            </w:r>
          </w:p>
        </w:tc>
        <w:tc>
          <w:tcPr>
            <w:tcW w:w="5567" w:type="dxa"/>
          </w:tcPr>
          <w:p w14:paraId="671FF16E" w14:textId="77777777" w:rsidR="00063764" w:rsidRPr="007504E6" w:rsidRDefault="00063764" w:rsidP="00063764">
            <w:pPr>
              <w:pStyle w:val="Paraststmeklis"/>
              <w:spacing w:before="0" w:beforeAutospacing="0" w:after="0" w:afterAutospacing="0"/>
              <w:cnfStyle w:val="000000100000" w:firstRow="0" w:lastRow="0" w:firstColumn="0" w:lastColumn="0" w:oddVBand="0" w:evenVBand="0" w:oddHBand="1" w:evenHBand="0" w:firstRowFirstColumn="0" w:firstRowLastColumn="0" w:lastRowFirstColumn="0" w:lastRowLastColumn="0"/>
              <w:rPr>
                <w:lang w:val="en-GB"/>
              </w:rPr>
            </w:pPr>
            <w:r w:rsidRPr="007504E6">
              <w:rPr>
                <w:sz w:val="22"/>
                <w:szCs w:val="22"/>
                <w:lang w:val="en-GB"/>
              </w:rPr>
              <w:t> </w:t>
            </w:r>
          </w:p>
          <w:p w14:paraId="4F7DECC4" w14:textId="77777777" w:rsidR="00063764" w:rsidRPr="007504E6" w:rsidRDefault="00063764" w:rsidP="00063764">
            <w:pPr>
              <w:pStyle w:val="Paraststmeklis"/>
              <w:spacing w:before="0" w:beforeAutospacing="0" w:after="0" w:afterAutospacing="0"/>
              <w:cnfStyle w:val="000000100000" w:firstRow="0" w:lastRow="0" w:firstColumn="0" w:lastColumn="0" w:oddVBand="0" w:evenVBand="0" w:oddHBand="1" w:evenHBand="0" w:firstRowFirstColumn="0" w:firstRowLastColumn="0" w:lastRowFirstColumn="0" w:lastRowLastColumn="0"/>
              <w:rPr>
                <w:lang w:val="en-GB"/>
              </w:rPr>
            </w:pPr>
            <w:r w:rsidRPr="007504E6">
              <w:rPr>
                <w:sz w:val="22"/>
                <w:szCs w:val="22"/>
                <w:lang w:val="en-GB"/>
              </w:rPr>
              <w:t>Gross domestic product</w:t>
            </w:r>
          </w:p>
          <w:p w14:paraId="36AB89F5" w14:textId="2CF0F2F2" w:rsidR="00063764" w:rsidRPr="007504E6" w:rsidRDefault="00063764" w:rsidP="00063764">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r w:rsidRPr="007504E6">
              <w:rPr>
                <w:rFonts w:ascii="Times New Roman" w:hAnsi="Times New Roman" w:cs="Times New Roman"/>
                <w:sz w:val="22"/>
                <w:szCs w:val="22"/>
                <w:lang w:val="en-GB"/>
              </w:rPr>
              <w:t> </w:t>
            </w:r>
          </w:p>
        </w:tc>
      </w:tr>
      <w:tr w:rsidR="00063764" w:rsidRPr="007504E6" w14:paraId="4A4E0587" w14:textId="77777777" w:rsidTr="00A57B7B">
        <w:trPr>
          <w:trHeight w:val="323"/>
        </w:trPr>
        <w:tc>
          <w:tcPr>
            <w:cnfStyle w:val="000010000000" w:firstRow="0" w:lastRow="0" w:firstColumn="0" w:lastColumn="0" w:oddVBand="1" w:evenVBand="0" w:oddHBand="0" w:evenHBand="0" w:firstRowFirstColumn="0" w:firstRowLastColumn="0" w:lastRowFirstColumn="0" w:lastRowLastColumn="0"/>
            <w:tcW w:w="1946" w:type="dxa"/>
          </w:tcPr>
          <w:p w14:paraId="4CB5EB73" w14:textId="7E6F7C92" w:rsidR="00063764" w:rsidRPr="007504E6" w:rsidRDefault="00063764" w:rsidP="00063764">
            <w:pPr>
              <w:pStyle w:val="Default"/>
              <w:rPr>
                <w:rFonts w:ascii="Times New Roman" w:hAnsi="Times New Roman" w:cs="Times New Roman"/>
                <w:sz w:val="22"/>
                <w:szCs w:val="22"/>
                <w:lang w:val="en-GB"/>
              </w:rPr>
            </w:pPr>
            <w:r w:rsidRPr="007504E6">
              <w:rPr>
                <w:rFonts w:ascii="Times New Roman" w:hAnsi="Times New Roman" w:cs="Times New Roman"/>
                <w:sz w:val="22"/>
                <w:szCs w:val="22"/>
                <w:lang w:val="en-GB"/>
              </w:rPr>
              <w:t>pp</w:t>
            </w:r>
          </w:p>
        </w:tc>
        <w:tc>
          <w:tcPr>
            <w:tcW w:w="5567" w:type="dxa"/>
          </w:tcPr>
          <w:p w14:paraId="7A167331" w14:textId="160AD724" w:rsidR="00063764" w:rsidRPr="007504E6" w:rsidRDefault="00063764" w:rsidP="00063764">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7504E6">
              <w:rPr>
                <w:rFonts w:ascii="Times New Roman" w:hAnsi="Times New Roman" w:cs="Times New Roman"/>
                <w:sz w:val="22"/>
                <w:szCs w:val="22"/>
                <w:lang w:val="en-GB"/>
              </w:rPr>
              <w:t>Percentage points (unit of arithmetic difference of two percent)</w:t>
            </w:r>
          </w:p>
        </w:tc>
      </w:tr>
      <w:tr w:rsidR="00E161A4" w:rsidRPr="007504E6" w14:paraId="431BA77B" w14:textId="77777777" w:rsidTr="00A57B7B">
        <w:trPr>
          <w:cnfStyle w:val="000000100000" w:firstRow="0" w:lastRow="0" w:firstColumn="0" w:lastColumn="0" w:oddVBand="0" w:evenVBand="0" w:oddHBand="1" w:evenHBand="0"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1946" w:type="dxa"/>
          </w:tcPr>
          <w:p w14:paraId="12C3D429" w14:textId="77777777" w:rsidR="00E161A4" w:rsidRPr="007504E6" w:rsidRDefault="00E161A4" w:rsidP="00E161A4">
            <w:pPr>
              <w:pStyle w:val="Paraststmeklis"/>
              <w:spacing w:before="0" w:beforeAutospacing="0" w:after="0" w:afterAutospacing="0"/>
              <w:rPr>
                <w:lang w:val="en-GB"/>
              </w:rPr>
            </w:pPr>
            <w:r w:rsidRPr="007504E6">
              <w:rPr>
                <w:sz w:val="22"/>
                <w:szCs w:val="22"/>
                <w:lang w:val="en-GB"/>
              </w:rPr>
              <w:t>Experts</w:t>
            </w:r>
          </w:p>
          <w:p w14:paraId="1688A945" w14:textId="7DAEE296" w:rsidR="00E161A4" w:rsidRPr="007504E6" w:rsidRDefault="00E161A4" w:rsidP="00E161A4">
            <w:pPr>
              <w:pStyle w:val="Default"/>
              <w:rPr>
                <w:rFonts w:ascii="Times New Roman" w:hAnsi="Times New Roman" w:cs="Times New Roman"/>
                <w:sz w:val="22"/>
                <w:szCs w:val="22"/>
                <w:lang w:val="en-GB"/>
              </w:rPr>
            </w:pPr>
            <w:r w:rsidRPr="007504E6">
              <w:rPr>
                <w:rFonts w:ascii="Times New Roman" w:hAnsi="Times New Roman" w:cs="Times New Roman"/>
                <w:sz w:val="22"/>
                <w:szCs w:val="22"/>
                <w:lang w:val="en-GB"/>
              </w:rPr>
              <w:t> </w:t>
            </w:r>
          </w:p>
        </w:tc>
        <w:tc>
          <w:tcPr>
            <w:tcW w:w="5567" w:type="dxa"/>
          </w:tcPr>
          <w:p w14:paraId="39378F73" w14:textId="77777777" w:rsidR="00E161A4" w:rsidRPr="007504E6" w:rsidRDefault="00E161A4" w:rsidP="00E161A4">
            <w:pPr>
              <w:pStyle w:val="Paraststmeklis"/>
              <w:spacing w:before="0" w:beforeAutospacing="0" w:after="0" w:afterAutospacing="0"/>
              <w:cnfStyle w:val="000000100000" w:firstRow="0" w:lastRow="0" w:firstColumn="0" w:lastColumn="0" w:oddVBand="0" w:evenVBand="0" w:oddHBand="1" w:evenHBand="0" w:firstRowFirstColumn="0" w:firstRowLastColumn="0" w:lastRowFirstColumn="0" w:lastRowLastColumn="0"/>
              <w:rPr>
                <w:lang w:val="en-GB"/>
              </w:rPr>
            </w:pPr>
            <w:r w:rsidRPr="007504E6">
              <w:rPr>
                <w:sz w:val="22"/>
                <w:szCs w:val="22"/>
                <w:lang w:val="en-GB"/>
              </w:rPr>
              <w:t>59 experts in the field of Latvian construction, who expressed their opinion within the framework of the Study and who represent public administration, civic and academic environment, and industry. A detailed list of experts can be found at the end of the report (see table of contents)</w:t>
            </w:r>
          </w:p>
          <w:p w14:paraId="0F6C26DD" w14:textId="23870B77" w:rsidR="00E161A4" w:rsidRPr="007504E6" w:rsidRDefault="00E161A4" w:rsidP="00E161A4">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r w:rsidRPr="007504E6">
              <w:rPr>
                <w:rFonts w:ascii="Times New Roman" w:hAnsi="Times New Roman" w:cs="Times New Roman"/>
                <w:sz w:val="22"/>
                <w:szCs w:val="22"/>
                <w:lang w:val="en-GB"/>
              </w:rPr>
              <w:t> </w:t>
            </w:r>
          </w:p>
        </w:tc>
      </w:tr>
      <w:tr w:rsidR="00E161A4" w:rsidRPr="007504E6" w14:paraId="53BFD8E7" w14:textId="77777777" w:rsidTr="00A57B7B">
        <w:trPr>
          <w:trHeight w:val="323"/>
        </w:trPr>
        <w:tc>
          <w:tcPr>
            <w:cnfStyle w:val="000010000000" w:firstRow="0" w:lastRow="0" w:firstColumn="0" w:lastColumn="0" w:oddVBand="1" w:evenVBand="0" w:oddHBand="0" w:evenHBand="0" w:firstRowFirstColumn="0" w:firstRowLastColumn="0" w:lastRowFirstColumn="0" w:lastRowLastColumn="0"/>
            <w:tcW w:w="1946" w:type="dxa"/>
          </w:tcPr>
          <w:p w14:paraId="16F4E032" w14:textId="4E8CAEC6" w:rsidR="00E161A4" w:rsidRPr="007504E6" w:rsidRDefault="00E161A4" w:rsidP="00E161A4">
            <w:pPr>
              <w:pStyle w:val="Default"/>
              <w:rPr>
                <w:rFonts w:ascii="Times New Roman" w:hAnsi="Times New Roman" w:cs="Times New Roman"/>
                <w:sz w:val="22"/>
                <w:szCs w:val="22"/>
                <w:lang w:val="en-GB"/>
              </w:rPr>
            </w:pPr>
            <w:r w:rsidRPr="007504E6">
              <w:rPr>
                <w:rFonts w:ascii="Times New Roman" w:hAnsi="Times New Roman" w:cs="Times New Roman"/>
                <w:sz w:val="22"/>
                <w:szCs w:val="22"/>
                <w:lang w:val="en-GB"/>
              </w:rPr>
              <w:t>Customer</w:t>
            </w:r>
          </w:p>
        </w:tc>
        <w:tc>
          <w:tcPr>
            <w:tcW w:w="5567" w:type="dxa"/>
          </w:tcPr>
          <w:p w14:paraId="0619BE65" w14:textId="77777777" w:rsidR="00E161A4" w:rsidRPr="007504E6" w:rsidRDefault="00E161A4" w:rsidP="00E161A4">
            <w:pPr>
              <w:pStyle w:val="Paraststmeklis"/>
              <w:spacing w:before="0" w:beforeAutospacing="0" w:after="0" w:afterAutospacing="0"/>
              <w:cnfStyle w:val="000000000000" w:firstRow="0" w:lastRow="0" w:firstColumn="0" w:lastColumn="0" w:oddVBand="0" w:evenVBand="0" w:oddHBand="0" w:evenHBand="0" w:firstRowFirstColumn="0" w:firstRowLastColumn="0" w:lastRowFirstColumn="0" w:lastRowLastColumn="0"/>
              <w:rPr>
                <w:lang w:val="en-GB"/>
              </w:rPr>
            </w:pPr>
            <w:r w:rsidRPr="007504E6">
              <w:rPr>
                <w:sz w:val="22"/>
                <w:szCs w:val="22"/>
                <w:lang w:val="en-GB"/>
              </w:rPr>
              <w:t>Ministry of Economics of the Republic of Latvia</w:t>
            </w:r>
          </w:p>
          <w:p w14:paraId="5FF4F74B" w14:textId="24A9E1B7" w:rsidR="00E161A4" w:rsidRPr="007504E6" w:rsidRDefault="00E161A4" w:rsidP="00E161A4">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7504E6">
              <w:rPr>
                <w:rFonts w:ascii="Times New Roman" w:hAnsi="Times New Roman" w:cs="Times New Roman"/>
                <w:sz w:val="22"/>
                <w:szCs w:val="22"/>
                <w:lang w:val="en-GB"/>
              </w:rPr>
              <w:t> </w:t>
            </w:r>
          </w:p>
        </w:tc>
      </w:tr>
      <w:tr w:rsidR="00E161A4" w:rsidRPr="007504E6" w14:paraId="6662523D" w14:textId="77777777" w:rsidTr="00A57B7B">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1946" w:type="dxa"/>
          </w:tcPr>
          <w:p w14:paraId="01F0FBE6" w14:textId="072220D1" w:rsidR="00E161A4" w:rsidRPr="007504E6" w:rsidRDefault="002B1BC1" w:rsidP="00E161A4">
            <w:pPr>
              <w:pStyle w:val="Default"/>
              <w:rPr>
                <w:rFonts w:ascii="Times New Roman" w:hAnsi="Times New Roman" w:cs="Times New Roman"/>
                <w:sz w:val="22"/>
                <w:szCs w:val="22"/>
                <w:lang w:val="en-GB"/>
              </w:rPr>
            </w:pPr>
            <w:r w:rsidRPr="007504E6">
              <w:rPr>
                <w:rFonts w:ascii="Times New Roman" w:hAnsi="Times New Roman" w:cs="Times New Roman"/>
                <w:sz w:val="22"/>
                <w:szCs w:val="22"/>
                <w:lang w:val="en-GB"/>
              </w:rPr>
              <w:t>Researcher</w:t>
            </w:r>
          </w:p>
        </w:tc>
        <w:tc>
          <w:tcPr>
            <w:tcW w:w="5567" w:type="dxa"/>
          </w:tcPr>
          <w:p w14:paraId="31004F72" w14:textId="1675CCEA" w:rsidR="00E161A4" w:rsidRPr="007504E6" w:rsidRDefault="00E161A4" w:rsidP="00E161A4">
            <w:pPr>
              <w:pStyle w:val="Paraststmeklis"/>
              <w:spacing w:before="0" w:beforeAutospacing="0" w:after="0" w:afterAutospacing="0"/>
              <w:cnfStyle w:val="000000100000" w:firstRow="0" w:lastRow="0" w:firstColumn="0" w:lastColumn="0" w:oddVBand="0" w:evenVBand="0" w:oddHBand="1" w:evenHBand="0" w:firstRowFirstColumn="0" w:firstRowLastColumn="0" w:lastRowFirstColumn="0" w:lastRowLastColumn="0"/>
              <w:rPr>
                <w:lang w:val="en-GB"/>
              </w:rPr>
            </w:pPr>
            <w:r w:rsidRPr="007504E6">
              <w:rPr>
                <w:sz w:val="22"/>
                <w:szCs w:val="22"/>
                <w:lang w:val="en-GB"/>
              </w:rPr>
              <w:t xml:space="preserve">Socio-economic market process research company "InnoMatrix" Ltd. </w:t>
            </w:r>
          </w:p>
          <w:p w14:paraId="3150087C" w14:textId="73F49C1C" w:rsidR="00E161A4" w:rsidRPr="007504E6" w:rsidRDefault="00E161A4" w:rsidP="00E161A4">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r w:rsidRPr="007504E6">
              <w:rPr>
                <w:rFonts w:ascii="Times New Roman" w:hAnsi="Times New Roman" w:cs="Times New Roman"/>
                <w:sz w:val="22"/>
                <w:szCs w:val="22"/>
                <w:lang w:val="en-GB"/>
              </w:rPr>
              <w:t> </w:t>
            </w:r>
          </w:p>
        </w:tc>
      </w:tr>
      <w:tr w:rsidR="00E161A4" w:rsidRPr="007504E6" w14:paraId="1E97D977" w14:textId="77777777" w:rsidTr="00A57B7B">
        <w:trPr>
          <w:trHeight w:val="323"/>
        </w:trPr>
        <w:tc>
          <w:tcPr>
            <w:cnfStyle w:val="000010000000" w:firstRow="0" w:lastRow="0" w:firstColumn="0" w:lastColumn="0" w:oddVBand="1" w:evenVBand="0" w:oddHBand="0" w:evenHBand="0" w:firstRowFirstColumn="0" w:firstRowLastColumn="0" w:lastRowFirstColumn="0" w:lastRowLastColumn="0"/>
            <w:tcW w:w="1946" w:type="dxa"/>
          </w:tcPr>
          <w:p w14:paraId="64F9DC27" w14:textId="01EB9439" w:rsidR="00E161A4" w:rsidRPr="007504E6" w:rsidRDefault="002B1BC1" w:rsidP="00E161A4">
            <w:pPr>
              <w:pStyle w:val="Default"/>
              <w:rPr>
                <w:rFonts w:ascii="Times New Roman" w:hAnsi="Times New Roman" w:cs="Times New Roman"/>
                <w:sz w:val="22"/>
                <w:szCs w:val="22"/>
                <w:lang w:val="en-GB"/>
              </w:rPr>
            </w:pPr>
            <w:r w:rsidRPr="007504E6">
              <w:rPr>
                <w:rFonts w:ascii="Times New Roman" w:hAnsi="Times New Roman" w:cs="Times New Roman"/>
                <w:sz w:val="22"/>
                <w:szCs w:val="22"/>
                <w:lang w:val="en-GB"/>
              </w:rPr>
              <w:t>Research</w:t>
            </w:r>
          </w:p>
        </w:tc>
        <w:tc>
          <w:tcPr>
            <w:tcW w:w="5567" w:type="dxa"/>
          </w:tcPr>
          <w:p w14:paraId="607FB6E2" w14:textId="7C3A88A5" w:rsidR="00E161A4" w:rsidRPr="007504E6" w:rsidRDefault="00E161A4" w:rsidP="00E161A4">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7504E6">
              <w:rPr>
                <w:rFonts w:ascii="Times New Roman" w:hAnsi="Times New Roman" w:cs="Times New Roman"/>
                <w:sz w:val="22"/>
                <w:szCs w:val="22"/>
                <w:lang w:val="en-GB"/>
              </w:rPr>
              <w:t xml:space="preserve">Final output of the study - final report “Study on projected changes in </w:t>
            </w:r>
            <w:proofErr w:type="spellStart"/>
            <w:r w:rsidRPr="007504E6">
              <w:rPr>
                <w:rFonts w:ascii="Times New Roman" w:hAnsi="Times New Roman" w:cs="Times New Roman"/>
                <w:sz w:val="22"/>
                <w:szCs w:val="22"/>
                <w:lang w:val="en-GB"/>
              </w:rPr>
              <w:t>labor</w:t>
            </w:r>
            <w:proofErr w:type="spellEnd"/>
            <w:r w:rsidRPr="007504E6">
              <w:rPr>
                <w:rFonts w:ascii="Times New Roman" w:hAnsi="Times New Roman" w:cs="Times New Roman"/>
                <w:sz w:val="22"/>
                <w:szCs w:val="22"/>
                <w:lang w:val="en-GB"/>
              </w:rPr>
              <w:t xml:space="preserve"> and construction materials costs in the construction sector in Latvia in 2021-2025.”</w:t>
            </w:r>
          </w:p>
        </w:tc>
      </w:tr>
    </w:tbl>
    <w:p w14:paraId="15FE9F87" w14:textId="145DB82E" w:rsidR="000D1D1F" w:rsidRPr="007504E6" w:rsidRDefault="000D1D1F" w:rsidP="000D1D1F">
      <w:pPr>
        <w:ind w:firstLine="0"/>
        <w:rPr>
          <w:rFonts w:ascii="Times New Roman" w:hAnsi="Times New Roman" w:cs="Times New Roman"/>
          <w:lang w:val="en-GB"/>
        </w:rPr>
      </w:pPr>
    </w:p>
    <w:p w14:paraId="3C7698F1" w14:textId="2CD63C5B" w:rsidR="000D1D1F" w:rsidRPr="007504E6" w:rsidRDefault="000D1D1F" w:rsidP="000D1D1F">
      <w:pPr>
        <w:ind w:firstLine="0"/>
        <w:rPr>
          <w:rFonts w:ascii="Times New Roman" w:hAnsi="Times New Roman" w:cs="Times New Roman"/>
          <w:lang w:val="en-GB"/>
        </w:rPr>
      </w:pPr>
    </w:p>
    <w:p w14:paraId="31D62AA1" w14:textId="002E257A" w:rsidR="000D1D1F" w:rsidRPr="007504E6" w:rsidRDefault="000D1D1F" w:rsidP="000D1D1F">
      <w:pPr>
        <w:ind w:firstLine="0"/>
        <w:rPr>
          <w:rFonts w:ascii="Times New Roman" w:hAnsi="Times New Roman" w:cs="Times New Roman"/>
          <w:lang w:val="en-GB"/>
        </w:rPr>
      </w:pPr>
    </w:p>
    <w:p w14:paraId="05607BA3" w14:textId="6173C62D" w:rsidR="000D1D1F" w:rsidRPr="007504E6" w:rsidRDefault="000D1D1F" w:rsidP="000D1D1F">
      <w:pPr>
        <w:ind w:firstLine="0"/>
        <w:rPr>
          <w:rFonts w:ascii="Times New Roman" w:hAnsi="Times New Roman" w:cs="Times New Roman"/>
          <w:lang w:val="en-GB"/>
        </w:rPr>
      </w:pPr>
    </w:p>
    <w:p w14:paraId="318689C5" w14:textId="116020F6" w:rsidR="000D1D1F" w:rsidRPr="007504E6" w:rsidRDefault="000D1D1F" w:rsidP="000D1D1F">
      <w:pPr>
        <w:ind w:firstLine="0"/>
        <w:rPr>
          <w:rFonts w:ascii="Times New Roman" w:hAnsi="Times New Roman" w:cs="Times New Roman"/>
          <w:lang w:val="en-GB"/>
        </w:rPr>
      </w:pPr>
    </w:p>
    <w:p w14:paraId="2FDD4167" w14:textId="5622E38F" w:rsidR="000D1D1F" w:rsidRPr="007504E6" w:rsidRDefault="000D1D1F" w:rsidP="000D1D1F">
      <w:pPr>
        <w:ind w:firstLine="0"/>
        <w:rPr>
          <w:rFonts w:ascii="Times New Roman" w:hAnsi="Times New Roman" w:cs="Times New Roman"/>
          <w:lang w:val="en-GB"/>
        </w:rPr>
      </w:pPr>
    </w:p>
    <w:p w14:paraId="1380C84F" w14:textId="7F7551A0" w:rsidR="000D1D1F" w:rsidRPr="007504E6" w:rsidRDefault="000D1D1F" w:rsidP="000D1D1F">
      <w:pPr>
        <w:ind w:firstLine="0"/>
        <w:rPr>
          <w:rFonts w:ascii="Times New Roman" w:hAnsi="Times New Roman" w:cs="Times New Roman"/>
          <w:lang w:val="en-GB"/>
        </w:rPr>
      </w:pPr>
    </w:p>
    <w:p w14:paraId="326A0397" w14:textId="28188F4C" w:rsidR="000D1D1F" w:rsidRPr="007504E6" w:rsidRDefault="000D1D1F" w:rsidP="000D1D1F">
      <w:pPr>
        <w:ind w:firstLine="0"/>
        <w:rPr>
          <w:rFonts w:ascii="Times New Roman" w:hAnsi="Times New Roman" w:cs="Times New Roman"/>
          <w:lang w:val="en-GB"/>
        </w:rPr>
      </w:pPr>
    </w:p>
    <w:p w14:paraId="513E2F79" w14:textId="25748676" w:rsidR="000D1D1F" w:rsidRPr="007504E6" w:rsidRDefault="000D1D1F" w:rsidP="000D1D1F">
      <w:pPr>
        <w:ind w:firstLine="0"/>
        <w:rPr>
          <w:rFonts w:ascii="Times New Roman" w:hAnsi="Times New Roman" w:cs="Times New Roman"/>
          <w:lang w:val="en-GB"/>
        </w:rPr>
      </w:pPr>
    </w:p>
    <w:p w14:paraId="54A71D96" w14:textId="2A26F336" w:rsidR="000D1D1F" w:rsidRPr="007504E6" w:rsidRDefault="000D1D1F" w:rsidP="000D1D1F">
      <w:pPr>
        <w:ind w:firstLine="0"/>
        <w:rPr>
          <w:rFonts w:ascii="Times New Roman" w:hAnsi="Times New Roman" w:cs="Times New Roman"/>
          <w:lang w:val="en-GB"/>
        </w:rPr>
      </w:pPr>
    </w:p>
    <w:p w14:paraId="334D31CA" w14:textId="124DAD72" w:rsidR="000D1D1F" w:rsidRPr="007504E6" w:rsidRDefault="000D1D1F" w:rsidP="000D1D1F">
      <w:pPr>
        <w:ind w:firstLine="0"/>
        <w:rPr>
          <w:rFonts w:ascii="Times New Roman" w:hAnsi="Times New Roman" w:cs="Times New Roman"/>
          <w:lang w:val="en-GB"/>
        </w:rPr>
      </w:pPr>
    </w:p>
    <w:p w14:paraId="31F47178" w14:textId="242BF7C0" w:rsidR="000D1D1F" w:rsidRPr="007504E6" w:rsidRDefault="000D1D1F" w:rsidP="000D1D1F">
      <w:pPr>
        <w:ind w:firstLine="0"/>
        <w:rPr>
          <w:rFonts w:ascii="Times New Roman" w:hAnsi="Times New Roman" w:cs="Times New Roman"/>
          <w:lang w:val="en-GB"/>
        </w:rPr>
      </w:pPr>
    </w:p>
    <w:p w14:paraId="074B9961" w14:textId="7A47E2A5" w:rsidR="000D1D1F" w:rsidRPr="007504E6" w:rsidRDefault="000D1D1F" w:rsidP="000D1D1F">
      <w:pPr>
        <w:ind w:firstLine="0"/>
        <w:rPr>
          <w:rFonts w:ascii="Times New Roman" w:hAnsi="Times New Roman" w:cs="Times New Roman"/>
          <w:lang w:val="en-GB"/>
        </w:rPr>
      </w:pPr>
    </w:p>
    <w:p w14:paraId="32CECDED" w14:textId="0CDEEC52" w:rsidR="000D1D1F" w:rsidRPr="007504E6" w:rsidRDefault="000D1D1F" w:rsidP="000D1D1F">
      <w:pPr>
        <w:ind w:firstLine="0"/>
        <w:rPr>
          <w:rFonts w:ascii="Times New Roman" w:hAnsi="Times New Roman" w:cs="Times New Roman"/>
          <w:lang w:val="en-GB"/>
        </w:rPr>
      </w:pPr>
    </w:p>
    <w:p w14:paraId="2C9F1A00" w14:textId="46DB843A" w:rsidR="000D1D1F" w:rsidRPr="007504E6" w:rsidRDefault="000D1D1F" w:rsidP="000D1D1F">
      <w:pPr>
        <w:ind w:firstLine="0"/>
        <w:rPr>
          <w:rFonts w:ascii="Times New Roman" w:hAnsi="Times New Roman" w:cs="Times New Roman"/>
          <w:lang w:val="en-GB"/>
        </w:rPr>
      </w:pPr>
    </w:p>
    <w:p w14:paraId="3B849047" w14:textId="4ED00409" w:rsidR="000D1D1F" w:rsidRPr="007504E6" w:rsidRDefault="000D1D1F" w:rsidP="000D1D1F">
      <w:pPr>
        <w:ind w:firstLine="0"/>
        <w:rPr>
          <w:rFonts w:ascii="Times New Roman" w:hAnsi="Times New Roman" w:cs="Times New Roman"/>
          <w:lang w:val="en-GB"/>
        </w:rPr>
      </w:pPr>
    </w:p>
    <w:p w14:paraId="79E28309" w14:textId="01C9EED4" w:rsidR="000D1D1F" w:rsidRPr="007504E6" w:rsidRDefault="000D1D1F" w:rsidP="000D1D1F">
      <w:pPr>
        <w:ind w:firstLine="0"/>
        <w:rPr>
          <w:rFonts w:ascii="Times New Roman" w:hAnsi="Times New Roman" w:cs="Times New Roman"/>
          <w:lang w:val="en-GB"/>
        </w:rPr>
      </w:pPr>
    </w:p>
    <w:p w14:paraId="3ADBE68D" w14:textId="21287729" w:rsidR="000D1D1F" w:rsidRPr="007504E6" w:rsidRDefault="000D1D1F" w:rsidP="000D1D1F">
      <w:pPr>
        <w:ind w:firstLine="0"/>
        <w:rPr>
          <w:rFonts w:ascii="Times New Roman" w:hAnsi="Times New Roman" w:cs="Times New Roman"/>
          <w:lang w:val="en-GB"/>
        </w:rPr>
      </w:pPr>
    </w:p>
    <w:p w14:paraId="28701266" w14:textId="6E7E96DD" w:rsidR="000D1D1F" w:rsidRPr="007504E6" w:rsidRDefault="000D1D1F" w:rsidP="000D1D1F">
      <w:pPr>
        <w:ind w:firstLine="0"/>
        <w:rPr>
          <w:rFonts w:ascii="Times New Roman" w:hAnsi="Times New Roman" w:cs="Times New Roman"/>
          <w:lang w:val="en-GB"/>
        </w:rPr>
      </w:pPr>
    </w:p>
    <w:p w14:paraId="096E84E4" w14:textId="6FECC1D1" w:rsidR="000D1D1F" w:rsidRPr="007504E6" w:rsidRDefault="000D1D1F" w:rsidP="000D1D1F">
      <w:pPr>
        <w:ind w:firstLine="0"/>
        <w:rPr>
          <w:rFonts w:ascii="Times New Roman" w:hAnsi="Times New Roman" w:cs="Times New Roman"/>
          <w:lang w:val="en-GB"/>
        </w:rPr>
      </w:pPr>
    </w:p>
    <w:p w14:paraId="68D46875" w14:textId="37B84252" w:rsidR="000D1D1F" w:rsidRPr="007504E6" w:rsidRDefault="000D1D1F" w:rsidP="000D1D1F">
      <w:pPr>
        <w:ind w:firstLine="0"/>
        <w:rPr>
          <w:rFonts w:ascii="Times New Roman" w:hAnsi="Times New Roman" w:cs="Times New Roman"/>
          <w:lang w:val="en-GB"/>
        </w:rPr>
      </w:pPr>
    </w:p>
    <w:p w14:paraId="32D51A42" w14:textId="6A6F7FEB" w:rsidR="000D1D1F" w:rsidRPr="007504E6" w:rsidRDefault="000D1D1F" w:rsidP="000D1D1F">
      <w:pPr>
        <w:ind w:firstLine="0"/>
        <w:rPr>
          <w:rFonts w:ascii="Times New Roman" w:hAnsi="Times New Roman" w:cs="Times New Roman"/>
          <w:lang w:val="en-GB"/>
        </w:rPr>
      </w:pPr>
    </w:p>
    <w:p w14:paraId="528B57F3" w14:textId="46B9EF9A" w:rsidR="000D1D1F" w:rsidRPr="007504E6" w:rsidRDefault="000D1D1F" w:rsidP="000D1D1F">
      <w:pPr>
        <w:ind w:firstLine="0"/>
        <w:rPr>
          <w:rFonts w:ascii="Times New Roman" w:hAnsi="Times New Roman" w:cs="Times New Roman"/>
          <w:lang w:val="en-GB"/>
        </w:rPr>
      </w:pPr>
    </w:p>
    <w:p w14:paraId="6629B71E" w14:textId="6962E15F" w:rsidR="000D1D1F" w:rsidRPr="007504E6" w:rsidRDefault="000D1D1F" w:rsidP="000D1D1F">
      <w:pPr>
        <w:ind w:firstLine="0"/>
        <w:rPr>
          <w:rFonts w:ascii="Times New Roman" w:hAnsi="Times New Roman" w:cs="Times New Roman"/>
          <w:lang w:val="en-GB"/>
        </w:rPr>
      </w:pPr>
    </w:p>
    <w:p w14:paraId="2DD02D63" w14:textId="77777777" w:rsidR="00E5311E" w:rsidRPr="007504E6" w:rsidRDefault="00E5311E">
      <w:pPr>
        <w:spacing w:after="160" w:line="259" w:lineRule="auto"/>
        <w:ind w:firstLine="0"/>
        <w:jc w:val="left"/>
        <w:rPr>
          <w:rFonts w:ascii="Times New Roman" w:hAnsi="Times New Roman" w:cs="Times New Roman"/>
          <w:highlight w:val="yellow"/>
          <w:lang w:val="en-GB"/>
        </w:rPr>
      </w:pPr>
      <w:r w:rsidRPr="007504E6">
        <w:rPr>
          <w:rFonts w:ascii="Times New Roman" w:hAnsi="Times New Roman" w:cs="Times New Roman"/>
          <w:highlight w:val="yellow"/>
          <w:lang w:val="en-GB"/>
        </w:rPr>
        <w:br w:type="page"/>
      </w:r>
    </w:p>
    <w:p w14:paraId="4C4A970B" w14:textId="13139734" w:rsidR="005807A4" w:rsidRPr="007504E6" w:rsidRDefault="006D60A7" w:rsidP="00E95305">
      <w:pPr>
        <w:jc w:val="center"/>
        <w:rPr>
          <w:rFonts w:ascii="Times New Roman" w:hAnsi="Times New Roman" w:cs="Times New Roman"/>
          <w:lang w:val="en-GB"/>
        </w:rPr>
      </w:pPr>
      <w:r w:rsidRPr="007504E6">
        <w:rPr>
          <w:rFonts w:ascii="Times New Roman" w:hAnsi="Times New Roman" w:cs="Times New Roman"/>
          <w:lang w:val="en-GB"/>
        </w:rPr>
        <w:t>TABLE OF CONTENTS</w:t>
      </w:r>
    </w:p>
    <w:p w14:paraId="04C7F627" w14:textId="331AE714" w:rsidR="00DB730E" w:rsidRPr="007504E6" w:rsidRDefault="00E5311E">
      <w:pPr>
        <w:pStyle w:val="Saturs1"/>
        <w:rPr>
          <w:rFonts w:eastAsiaTheme="minorEastAsia"/>
          <w:noProof/>
          <w:lang w:val="en-GB" w:eastAsia="lv-LV"/>
        </w:rPr>
      </w:pPr>
      <w:r w:rsidRPr="007504E6">
        <w:rPr>
          <w:rFonts w:ascii="Times New Roman" w:hAnsi="Times New Roman" w:cs="Times New Roman"/>
          <w:lang w:val="en-GB"/>
        </w:rPr>
        <w:fldChar w:fldCharType="begin"/>
      </w:r>
      <w:r w:rsidRPr="007504E6">
        <w:rPr>
          <w:rFonts w:ascii="Times New Roman" w:hAnsi="Times New Roman" w:cs="Times New Roman"/>
          <w:lang w:val="en-GB"/>
        </w:rPr>
        <w:instrText xml:space="preserve"> TOC \o "1-2" \h \z \u </w:instrText>
      </w:r>
      <w:r w:rsidRPr="007504E6">
        <w:rPr>
          <w:rFonts w:ascii="Times New Roman" w:hAnsi="Times New Roman" w:cs="Times New Roman"/>
          <w:lang w:val="en-GB"/>
        </w:rPr>
        <w:fldChar w:fldCharType="separate"/>
      </w:r>
      <w:hyperlink w:anchor="_Toc77714114" w:history="1">
        <w:r w:rsidR="00DB730E" w:rsidRPr="007504E6">
          <w:rPr>
            <w:rStyle w:val="Hipersaite"/>
            <w:rFonts w:ascii="Times New Roman" w:hAnsi="Times New Roman" w:cs="Times New Roman"/>
            <w:b/>
            <w:bCs/>
            <w:noProof/>
            <w:lang w:val="en-GB"/>
          </w:rPr>
          <w:t>SUMMARY</w:t>
        </w:r>
        <w:r w:rsidR="00DB730E" w:rsidRPr="007504E6">
          <w:rPr>
            <w:noProof/>
            <w:webHidden/>
            <w:lang w:val="en-GB"/>
          </w:rPr>
          <w:tab/>
        </w:r>
        <w:r w:rsidR="00DB730E" w:rsidRPr="007504E6">
          <w:rPr>
            <w:noProof/>
            <w:webHidden/>
            <w:lang w:val="en-GB"/>
          </w:rPr>
          <w:fldChar w:fldCharType="begin"/>
        </w:r>
        <w:r w:rsidR="00DB730E" w:rsidRPr="007504E6">
          <w:rPr>
            <w:noProof/>
            <w:webHidden/>
            <w:lang w:val="en-GB"/>
          </w:rPr>
          <w:instrText xml:space="preserve"> PAGEREF _Toc77714114 \h </w:instrText>
        </w:r>
        <w:r w:rsidR="00DB730E" w:rsidRPr="007504E6">
          <w:rPr>
            <w:noProof/>
            <w:webHidden/>
            <w:lang w:val="en-GB"/>
          </w:rPr>
        </w:r>
        <w:r w:rsidR="00DB730E" w:rsidRPr="007504E6">
          <w:rPr>
            <w:noProof/>
            <w:webHidden/>
            <w:lang w:val="en-GB"/>
          </w:rPr>
          <w:fldChar w:fldCharType="separate"/>
        </w:r>
        <w:r w:rsidR="00D500F7">
          <w:rPr>
            <w:noProof/>
            <w:webHidden/>
            <w:lang w:val="en-GB"/>
          </w:rPr>
          <w:t>4</w:t>
        </w:r>
        <w:r w:rsidR="00DB730E" w:rsidRPr="007504E6">
          <w:rPr>
            <w:noProof/>
            <w:webHidden/>
            <w:lang w:val="en-GB"/>
          </w:rPr>
          <w:fldChar w:fldCharType="end"/>
        </w:r>
      </w:hyperlink>
    </w:p>
    <w:p w14:paraId="063AE441" w14:textId="344DCA4F" w:rsidR="00DB730E" w:rsidRPr="007504E6" w:rsidRDefault="00B0130F">
      <w:pPr>
        <w:pStyle w:val="Saturs1"/>
        <w:rPr>
          <w:rFonts w:eastAsiaTheme="minorEastAsia"/>
          <w:noProof/>
          <w:lang w:val="en-GB" w:eastAsia="lv-LV"/>
        </w:rPr>
      </w:pPr>
      <w:hyperlink w:anchor="_Toc77714115" w:history="1">
        <w:r w:rsidR="00DB730E" w:rsidRPr="007504E6">
          <w:rPr>
            <w:rStyle w:val="Hipersaite"/>
            <w:rFonts w:ascii="Times New Roman" w:hAnsi="Times New Roman" w:cs="Times New Roman"/>
            <w:noProof/>
            <w:lang w:val="en-GB"/>
          </w:rPr>
          <w:t>PROPOSALS</w:t>
        </w:r>
        <w:r w:rsidR="00DB730E" w:rsidRPr="007504E6">
          <w:rPr>
            <w:noProof/>
            <w:webHidden/>
            <w:lang w:val="en-GB"/>
          </w:rPr>
          <w:tab/>
        </w:r>
        <w:r w:rsidR="00DB730E" w:rsidRPr="007504E6">
          <w:rPr>
            <w:noProof/>
            <w:webHidden/>
            <w:lang w:val="en-GB"/>
          </w:rPr>
          <w:fldChar w:fldCharType="begin"/>
        </w:r>
        <w:r w:rsidR="00DB730E" w:rsidRPr="007504E6">
          <w:rPr>
            <w:noProof/>
            <w:webHidden/>
            <w:lang w:val="en-GB"/>
          </w:rPr>
          <w:instrText xml:space="preserve"> PAGEREF _Toc77714115 \h </w:instrText>
        </w:r>
        <w:r w:rsidR="00DB730E" w:rsidRPr="007504E6">
          <w:rPr>
            <w:noProof/>
            <w:webHidden/>
            <w:lang w:val="en-GB"/>
          </w:rPr>
        </w:r>
        <w:r w:rsidR="00DB730E" w:rsidRPr="007504E6">
          <w:rPr>
            <w:noProof/>
            <w:webHidden/>
            <w:lang w:val="en-GB"/>
          </w:rPr>
          <w:fldChar w:fldCharType="separate"/>
        </w:r>
        <w:r w:rsidR="00D500F7">
          <w:rPr>
            <w:noProof/>
            <w:webHidden/>
            <w:lang w:val="en-GB"/>
          </w:rPr>
          <w:t>10</w:t>
        </w:r>
        <w:r w:rsidR="00DB730E" w:rsidRPr="007504E6">
          <w:rPr>
            <w:noProof/>
            <w:webHidden/>
            <w:lang w:val="en-GB"/>
          </w:rPr>
          <w:fldChar w:fldCharType="end"/>
        </w:r>
      </w:hyperlink>
    </w:p>
    <w:p w14:paraId="1C5339ED" w14:textId="5232AC85" w:rsidR="00DB730E" w:rsidRPr="007504E6" w:rsidRDefault="00B0130F">
      <w:pPr>
        <w:pStyle w:val="Saturs1"/>
        <w:tabs>
          <w:tab w:val="left" w:pos="1320"/>
        </w:tabs>
        <w:rPr>
          <w:rFonts w:eastAsiaTheme="minorEastAsia"/>
          <w:noProof/>
          <w:lang w:val="en-GB" w:eastAsia="lv-LV"/>
        </w:rPr>
      </w:pPr>
      <w:hyperlink w:anchor="_Toc77714116" w:history="1">
        <w:r w:rsidR="00DB730E" w:rsidRPr="007504E6">
          <w:rPr>
            <w:rStyle w:val="Hipersaite"/>
            <w:rFonts w:ascii="Times New Roman" w:hAnsi="Times New Roman" w:cs="Times New Roman"/>
            <w:noProof/>
            <w:lang w:val="en-GB"/>
          </w:rPr>
          <w:t>1.</w:t>
        </w:r>
        <w:r w:rsidR="00DB730E" w:rsidRPr="007504E6">
          <w:rPr>
            <w:rFonts w:eastAsiaTheme="minorEastAsia"/>
            <w:noProof/>
            <w:lang w:val="en-GB" w:eastAsia="lv-LV"/>
          </w:rPr>
          <w:tab/>
        </w:r>
        <w:r w:rsidR="00DB730E" w:rsidRPr="007504E6">
          <w:rPr>
            <w:rStyle w:val="Hipersaite"/>
            <w:rFonts w:ascii="Times New Roman" w:hAnsi="Times New Roman" w:cs="Times New Roman"/>
            <w:noProof/>
            <w:lang w:val="en-GB"/>
          </w:rPr>
          <w:t>Analysis of the results and data of the general and sub-sectoral expert survey</w:t>
        </w:r>
        <w:r w:rsidR="00DB730E" w:rsidRPr="007504E6">
          <w:rPr>
            <w:noProof/>
            <w:webHidden/>
            <w:lang w:val="en-GB"/>
          </w:rPr>
          <w:tab/>
        </w:r>
        <w:r w:rsidR="00DB730E" w:rsidRPr="007504E6">
          <w:rPr>
            <w:noProof/>
            <w:webHidden/>
            <w:lang w:val="en-GB"/>
          </w:rPr>
          <w:fldChar w:fldCharType="begin"/>
        </w:r>
        <w:r w:rsidR="00DB730E" w:rsidRPr="007504E6">
          <w:rPr>
            <w:noProof/>
            <w:webHidden/>
            <w:lang w:val="en-GB"/>
          </w:rPr>
          <w:instrText xml:space="preserve"> PAGEREF _Toc77714116 \h </w:instrText>
        </w:r>
        <w:r w:rsidR="00DB730E" w:rsidRPr="007504E6">
          <w:rPr>
            <w:noProof/>
            <w:webHidden/>
            <w:lang w:val="en-GB"/>
          </w:rPr>
        </w:r>
        <w:r w:rsidR="00DB730E" w:rsidRPr="007504E6">
          <w:rPr>
            <w:noProof/>
            <w:webHidden/>
            <w:lang w:val="en-GB"/>
          </w:rPr>
          <w:fldChar w:fldCharType="separate"/>
        </w:r>
        <w:r w:rsidR="00D500F7">
          <w:rPr>
            <w:noProof/>
            <w:webHidden/>
            <w:lang w:val="en-GB"/>
          </w:rPr>
          <w:t>12</w:t>
        </w:r>
        <w:r w:rsidR="00DB730E" w:rsidRPr="007504E6">
          <w:rPr>
            <w:noProof/>
            <w:webHidden/>
            <w:lang w:val="en-GB"/>
          </w:rPr>
          <w:fldChar w:fldCharType="end"/>
        </w:r>
      </w:hyperlink>
    </w:p>
    <w:p w14:paraId="3FE2084C" w14:textId="1BD7D40A" w:rsidR="00DB730E" w:rsidRPr="007504E6" w:rsidRDefault="00B0130F">
      <w:pPr>
        <w:pStyle w:val="Saturs2"/>
        <w:tabs>
          <w:tab w:val="left" w:pos="1540"/>
          <w:tab w:val="right" w:leader="dot" w:pos="9017"/>
        </w:tabs>
        <w:rPr>
          <w:rFonts w:eastAsiaTheme="minorEastAsia"/>
          <w:noProof/>
          <w:lang w:val="en-GB" w:eastAsia="lv-LV"/>
        </w:rPr>
      </w:pPr>
      <w:hyperlink w:anchor="_Toc77714117" w:history="1">
        <w:r w:rsidR="00DB730E" w:rsidRPr="007504E6">
          <w:rPr>
            <w:rStyle w:val="Hipersaite"/>
            <w:rFonts w:ascii="Times New Roman" w:hAnsi="Times New Roman" w:cs="Times New Roman"/>
            <w:b/>
            <w:bCs/>
            <w:noProof/>
            <w:lang w:val="en-GB"/>
          </w:rPr>
          <w:t>1.1.</w:t>
        </w:r>
        <w:r w:rsidR="00DB730E" w:rsidRPr="007504E6">
          <w:rPr>
            <w:rFonts w:eastAsiaTheme="minorEastAsia"/>
            <w:noProof/>
            <w:lang w:val="en-GB" w:eastAsia="lv-LV"/>
          </w:rPr>
          <w:tab/>
        </w:r>
        <w:r w:rsidR="00DB730E" w:rsidRPr="007504E6">
          <w:rPr>
            <w:rStyle w:val="Hipersaite"/>
            <w:rFonts w:ascii="Times New Roman" w:hAnsi="Times New Roman" w:cs="Times New Roman"/>
            <w:b/>
            <w:bCs/>
            <w:noProof/>
            <w:lang w:val="en-GB"/>
          </w:rPr>
          <w:t>Structure and course of the general and sub-sectoral expert</w:t>
        </w:r>
        <w:r w:rsidR="00DB730E" w:rsidRPr="007504E6">
          <w:rPr>
            <w:noProof/>
            <w:webHidden/>
            <w:lang w:val="en-GB"/>
          </w:rPr>
          <w:tab/>
        </w:r>
        <w:r w:rsidR="00DB730E" w:rsidRPr="007504E6">
          <w:rPr>
            <w:noProof/>
            <w:webHidden/>
            <w:lang w:val="en-GB"/>
          </w:rPr>
          <w:fldChar w:fldCharType="begin"/>
        </w:r>
        <w:r w:rsidR="00DB730E" w:rsidRPr="007504E6">
          <w:rPr>
            <w:noProof/>
            <w:webHidden/>
            <w:lang w:val="en-GB"/>
          </w:rPr>
          <w:instrText xml:space="preserve"> PAGEREF _Toc77714117 \h </w:instrText>
        </w:r>
        <w:r w:rsidR="00DB730E" w:rsidRPr="007504E6">
          <w:rPr>
            <w:noProof/>
            <w:webHidden/>
            <w:lang w:val="en-GB"/>
          </w:rPr>
        </w:r>
        <w:r w:rsidR="00DB730E" w:rsidRPr="007504E6">
          <w:rPr>
            <w:noProof/>
            <w:webHidden/>
            <w:lang w:val="en-GB"/>
          </w:rPr>
          <w:fldChar w:fldCharType="separate"/>
        </w:r>
        <w:r w:rsidR="00D500F7">
          <w:rPr>
            <w:noProof/>
            <w:webHidden/>
            <w:lang w:val="en-GB"/>
          </w:rPr>
          <w:t>12</w:t>
        </w:r>
        <w:r w:rsidR="00DB730E" w:rsidRPr="007504E6">
          <w:rPr>
            <w:noProof/>
            <w:webHidden/>
            <w:lang w:val="en-GB"/>
          </w:rPr>
          <w:fldChar w:fldCharType="end"/>
        </w:r>
      </w:hyperlink>
    </w:p>
    <w:p w14:paraId="5D652539" w14:textId="6E00D998" w:rsidR="00DB730E" w:rsidRPr="007504E6" w:rsidRDefault="00B0130F">
      <w:pPr>
        <w:pStyle w:val="Saturs2"/>
        <w:tabs>
          <w:tab w:val="left" w:pos="1540"/>
          <w:tab w:val="right" w:leader="dot" w:pos="9017"/>
        </w:tabs>
        <w:rPr>
          <w:rFonts w:eastAsiaTheme="minorEastAsia"/>
          <w:noProof/>
          <w:lang w:val="en-GB" w:eastAsia="lv-LV"/>
        </w:rPr>
      </w:pPr>
      <w:hyperlink w:anchor="_Toc77714118" w:history="1">
        <w:r w:rsidR="00DB730E" w:rsidRPr="007504E6">
          <w:rPr>
            <w:rStyle w:val="Hipersaite"/>
            <w:rFonts w:ascii="Times New Roman" w:hAnsi="Times New Roman" w:cs="Times New Roman"/>
            <w:b/>
            <w:bCs/>
            <w:noProof/>
            <w:lang w:val="en-GB"/>
          </w:rPr>
          <w:t>1.2.</w:t>
        </w:r>
        <w:r w:rsidR="00DB730E" w:rsidRPr="007504E6">
          <w:rPr>
            <w:rFonts w:eastAsiaTheme="minorEastAsia"/>
            <w:noProof/>
            <w:lang w:val="en-GB" w:eastAsia="lv-LV"/>
          </w:rPr>
          <w:tab/>
        </w:r>
        <w:r w:rsidR="00DB730E" w:rsidRPr="007504E6">
          <w:rPr>
            <w:rStyle w:val="Hipersaite"/>
            <w:rFonts w:ascii="Times New Roman" w:hAnsi="Times New Roman" w:cs="Times New Roman"/>
            <w:b/>
            <w:bCs/>
            <w:noProof/>
            <w:lang w:val="en-GB"/>
          </w:rPr>
          <w:t>Factors influencing changes in labor and construction material costs</w:t>
        </w:r>
        <w:r w:rsidR="00DB730E" w:rsidRPr="007504E6">
          <w:rPr>
            <w:noProof/>
            <w:webHidden/>
            <w:lang w:val="en-GB"/>
          </w:rPr>
          <w:tab/>
        </w:r>
        <w:r w:rsidR="00DB730E" w:rsidRPr="007504E6">
          <w:rPr>
            <w:noProof/>
            <w:webHidden/>
            <w:lang w:val="en-GB"/>
          </w:rPr>
          <w:fldChar w:fldCharType="begin"/>
        </w:r>
        <w:r w:rsidR="00DB730E" w:rsidRPr="007504E6">
          <w:rPr>
            <w:noProof/>
            <w:webHidden/>
            <w:lang w:val="en-GB"/>
          </w:rPr>
          <w:instrText xml:space="preserve"> PAGEREF _Toc77714118 \h </w:instrText>
        </w:r>
        <w:r w:rsidR="00DB730E" w:rsidRPr="007504E6">
          <w:rPr>
            <w:noProof/>
            <w:webHidden/>
            <w:lang w:val="en-GB"/>
          </w:rPr>
        </w:r>
        <w:r w:rsidR="00DB730E" w:rsidRPr="007504E6">
          <w:rPr>
            <w:noProof/>
            <w:webHidden/>
            <w:lang w:val="en-GB"/>
          </w:rPr>
          <w:fldChar w:fldCharType="separate"/>
        </w:r>
        <w:r w:rsidR="00D500F7">
          <w:rPr>
            <w:noProof/>
            <w:webHidden/>
            <w:lang w:val="en-GB"/>
          </w:rPr>
          <w:t>13</w:t>
        </w:r>
        <w:r w:rsidR="00DB730E" w:rsidRPr="007504E6">
          <w:rPr>
            <w:noProof/>
            <w:webHidden/>
            <w:lang w:val="en-GB"/>
          </w:rPr>
          <w:fldChar w:fldCharType="end"/>
        </w:r>
      </w:hyperlink>
    </w:p>
    <w:p w14:paraId="0C51DED7" w14:textId="2CD0699F" w:rsidR="00DB730E" w:rsidRPr="007504E6" w:rsidRDefault="00B0130F">
      <w:pPr>
        <w:pStyle w:val="Saturs2"/>
        <w:tabs>
          <w:tab w:val="left" w:pos="1540"/>
          <w:tab w:val="right" w:leader="dot" w:pos="9017"/>
        </w:tabs>
        <w:rPr>
          <w:rFonts w:eastAsiaTheme="minorEastAsia"/>
          <w:noProof/>
          <w:lang w:val="en-GB" w:eastAsia="lv-LV"/>
        </w:rPr>
      </w:pPr>
      <w:hyperlink w:anchor="_Toc77714119" w:history="1">
        <w:r w:rsidR="00DB730E" w:rsidRPr="007504E6">
          <w:rPr>
            <w:rStyle w:val="Hipersaite"/>
            <w:rFonts w:ascii="Times New Roman" w:hAnsi="Times New Roman" w:cs="Times New Roman"/>
            <w:b/>
            <w:bCs/>
            <w:noProof/>
            <w:lang w:val="en-GB"/>
          </w:rPr>
          <w:t>1.3.</w:t>
        </w:r>
        <w:r w:rsidR="00DB730E" w:rsidRPr="007504E6">
          <w:rPr>
            <w:rFonts w:eastAsiaTheme="minorEastAsia"/>
            <w:noProof/>
            <w:lang w:val="en-GB" w:eastAsia="lv-LV"/>
          </w:rPr>
          <w:tab/>
        </w:r>
        <w:r w:rsidR="00DB730E" w:rsidRPr="007504E6">
          <w:rPr>
            <w:rStyle w:val="Hipersaite"/>
            <w:rFonts w:ascii="Times New Roman" w:hAnsi="Times New Roman" w:cs="Times New Roman"/>
            <w:b/>
            <w:bCs/>
            <w:noProof/>
            <w:lang w:val="en-GB"/>
          </w:rPr>
          <w:t>Forecast of changes in the volume and cost of construction output</w:t>
        </w:r>
        <w:r w:rsidR="00DB730E" w:rsidRPr="007504E6">
          <w:rPr>
            <w:noProof/>
            <w:webHidden/>
            <w:lang w:val="en-GB"/>
          </w:rPr>
          <w:tab/>
        </w:r>
        <w:r w:rsidR="00DB730E" w:rsidRPr="007504E6">
          <w:rPr>
            <w:noProof/>
            <w:webHidden/>
            <w:lang w:val="en-GB"/>
          </w:rPr>
          <w:fldChar w:fldCharType="begin"/>
        </w:r>
        <w:r w:rsidR="00DB730E" w:rsidRPr="007504E6">
          <w:rPr>
            <w:noProof/>
            <w:webHidden/>
            <w:lang w:val="en-GB"/>
          </w:rPr>
          <w:instrText xml:space="preserve"> PAGEREF _Toc77714119 \h </w:instrText>
        </w:r>
        <w:r w:rsidR="00DB730E" w:rsidRPr="007504E6">
          <w:rPr>
            <w:noProof/>
            <w:webHidden/>
            <w:lang w:val="en-GB"/>
          </w:rPr>
        </w:r>
        <w:r w:rsidR="00DB730E" w:rsidRPr="007504E6">
          <w:rPr>
            <w:noProof/>
            <w:webHidden/>
            <w:lang w:val="en-GB"/>
          </w:rPr>
          <w:fldChar w:fldCharType="separate"/>
        </w:r>
        <w:r w:rsidR="00D500F7">
          <w:rPr>
            <w:noProof/>
            <w:webHidden/>
            <w:lang w:val="en-GB"/>
          </w:rPr>
          <w:t>16</w:t>
        </w:r>
        <w:r w:rsidR="00DB730E" w:rsidRPr="007504E6">
          <w:rPr>
            <w:noProof/>
            <w:webHidden/>
            <w:lang w:val="en-GB"/>
          </w:rPr>
          <w:fldChar w:fldCharType="end"/>
        </w:r>
      </w:hyperlink>
    </w:p>
    <w:p w14:paraId="3BDE9D7F" w14:textId="49B738DF" w:rsidR="00DB730E" w:rsidRPr="007504E6" w:rsidRDefault="00B0130F">
      <w:pPr>
        <w:pStyle w:val="Saturs2"/>
        <w:tabs>
          <w:tab w:val="left" w:pos="1540"/>
          <w:tab w:val="right" w:leader="dot" w:pos="9017"/>
        </w:tabs>
        <w:rPr>
          <w:rFonts w:eastAsiaTheme="minorEastAsia"/>
          <w:noProof/>
          <w:lang w:val="en-GB" w:eastAsia="lv-LV"/>
        </w:rPr>
      </w:pPr>
      <w:hyperlink w:anchor="_Toc77714120" w:history="1">
        <w:r w:rsidR="00DB730E" w:rsidRPr="007504E6">
          <w:rPr>
            <w:rStyle w:val="Hipersaite"/>
            <w:rFonts w:ascii="Times New Roman" w:hAnsi="Times New Roman" w:cs="Times New Roman"/>
            <w:b/>
            <w:bCs/>
            <w:noProof/>
            <w:lang w:val="en-GB"/>
          </w:rPr>
          <w:t>1.4.</w:t>
        </w:r>
        <w:r w:rsidR="00DB730E" w:rsidRPr="007504E6">
          <w:rPr>
            <w:rFonts w:eastAsiaTheme="minorEastAsia"/>
            <w:noProof/>
            <w:lang w:val="en-GB" w:eastAsia="lv-LV"/>
          </w:rPr>
          <w:tab/>
        </w:r>
        <w:r w:rsidR="00DB730E" w:rsidRPr="007504E6">
          <w:rPr>
            <w:rStyle w:val="Hipersaite"/>
            <w:rFonts w:ascii="Times New Roman" w:hAnsi="Times New Roman" w:cs="Times New Roman"/>
            <w:b/>
            <w:bCs/>
            <w:noProof/>
            <w:lang w:val="en-GB"/>
          </w:rPr>
          <w:t>Impact of measures to combat the shadow economy on the construction industry</w:t>
        </w:r>
        <w:r w:rsidR="00DB730E" w:rsidRPr="007504E6">
          <w:rPr>
            <w:noProof/>
            <w:webHidden/>
            <w:lang w:val="en-GB"/>
          </w:rPr>
          <w:tab/>
        </w:r>
        <w:r w:rsidR="00DB730E" w:rsidRPr="007504E6">
          <w:rPr>
            <w:noProof/>
            <w:webHidden/>
            <w:lang w:val="en-GB"/>
          </w:rPr>
          <w:fldChar w:fldCharType="begin"/>
        </w:r>
        <w:r w:rsidR="00DB730E" w:rsidRPr="007504E6">
          <w:rPr>
            <w:noProof/>
            <w:webHidden/>
            <w:lang w:val="en-GB"/>
          </w:rPr>
          <w:instrText xml:space="preserve"> PAGEREF _Toc77714120 \h </w:instrText>
        </w:r>
        <w:r w:rsidR="00DB730E" w:rsidRPr="007504E6">
          <w:rPr>
            <w:noProof/>
            <w:webHidden/>
            <w:lang w:val="en-GB"/>
          </w:rPr>
        </w:r>
        <w:r w:rsidR="00DB730E" w:rsidRPr="007504E6">
          <w:rPr>
            <w:noProof/>
            <w:webHidden/>
            <w:lang w:val="en-GB"/>
          </w:rPr>
          <w:fldChar w:fldCharType="separate"/>
        </w:r>
        <w:r w:rsidR="00D500F7">
          <w:rPr>
            <w:noProof/>
            <w:webHidden/>
            <w:lang w:val="en-GB"/>
          </w:rPr>
          <w:t>39</w:t>
        </w:r>
        <w:r w:rsidR="00DB730E" w:rsidRPr="007504E6">
          <w:rPr>
            <w:noProof/>
            <w:webHidden/>
            <w:lang w:val="en-GB"/>
          </w:rPr>
          <w:fldChar w:fldCharType="end"/>
        </w:r>
      </w:hyperlink>
    </w:p>
    <w:p w14:paraId="664CDE3C" w14:textId="47BFB7ED" w:rsidR="00DB730E" w:rsidRPr="007504E6" w:rsidRDefault="00B0130F">
      <w:pPr>
        <w:pStyle w:val="Saturs2"/>
        <w:tabs>
          <w:tab w:val="left" w:pos="1540"/>
          <w:tab w:val="right" w:leader="dot" w:pos="9017"/>
        </w:tabs>
        <w:rPr>
          <w:rFonts w:eastAsiaTheme="minorEastAsia"/>
          <w:noProof/>
          <w:lang w:val="en-GB" w:eastAsia="lv-LV"/>
        </w:rPr>
      </w:pPr>
      <w:hyperlink w:anchor="_Toc77714121" w:history="1">
        <w:r w:rsidR="00DB730E" w:rsidRPr="007504E6">
          <w:rPr>
            <w:rStyle w:val="Hipersaite"/>
            <w:rFonts w:ascii="Times New Roman" w:hAnsi="Times New Roman" w:cs="Times New Roman"/>
            <w:b/>
            <w:bCs/>
            <w:noProof/>
            <w:lang w:val="en-GB"/>
          </w:rPr>
          <w:t>1.5.</w:t>
        </w:r>
        <w:r w:rsidR="00DB730E" w:rsidRPr="007504E6">
          <w:rPr>
            <w:rFonts w:eastAsiaTheme="minorEastAsia"/>
            <w:noProof/>
            <w:lang w:val="en-GB" w:eastAsia="lv-LV"/>
          </w:rPr>
          <w:tab/>
        </w:r>
        <w:r w:rsidR="00DB730E" w:rsidRPr="007504E6">
          <w:rPr>
            <w:rStyle w:val="Hipersaite"/>
            <w:rFonts w:ascii="Times New Roman" w:hAnsi="Times New Roman" w:cs="Times New Roman"/>
            <w:b/>
            <w:bCs/>
            <w:noProof/>
            <w:lang w:val="en-GB"/>
          </w:rPr>
          <w:t>Impact of Covid-19 on the construction industry</w:t>
        </w:r>
        <w:r w:rsidR="00DB730E" w:rsidRPr="007504E6">
          <w:rPr>
            <w:noProof/>
            <w:webHidden/>
            <w:lang w:val="en-GB"/>
          </w:rPr>
          <w:tab/>
        </w:r>
        <w:r w:rsidR="00DB730E" w:rsidRPr="007504E6">
          <w:rPr>
            <w:noProof/>
            <w:webHidden/>
            <w:lang w:val="en-GB"/>
          </w:rPr>
          <w:fldChar w:fldCharType="begin"/>
        </w:r>
        <w:r w:rsidR="00DB730E" w:rsidRPr="007504E6">
          <w:rPr>
            <w:noProof/>
            <w:webHidden/>
            <w:lang w:val="en-GB"/>
          </w:rPr>
          <w:instrText xml:space="preserve"> PAGEREF _Toc77714121 \h </w:instrText>
        </w:r>
        <w:r w:rsidR="00DB730E" w:rsidRPr="007504E6">
          <w:rPr>
            <w:noProof/>
            <w:webHidden/>
            <w:lang w:val="en-GB"/>
          </w:rPr>
        </w:r>
        <w:r w:rsidR="00DB730E" w:rsidRPr="007504E6">
          <w:rPr>
            <w:noProof/>
            <w:webHidden/>
            <w:lang w:val="en-GB"/>
          </w:rPr>
          <w:fldChar w:fldCharType="separate"/>
        </w:r>
        <w:r w:rsidR="00D500F7">
          <w:rPr>
            <w:noProof/>
            <w:webHidden/>
            <w:lang w:val="en-GB"/>
          </w:rPr>
          <w:t>40</w:t>
        </w:r>
        <w:r w:rsidR="00DB730E" w:rsidRPr="007504E6">
          <w:rPr>
            <w:noProof/>
            <w:webHidden/>
            <w:lang w:val="en-GB"/>
          </w:rPr>
          <w:fldChar w:fldCharType="end"/>
        </w:r>
      </w:hyperlink>
    </w:p>
    <w:p w14:paraId="2DF6A07B" w14:textId="11B6A66C" w:rsidR="00DB730E" w:rsidRPr="007504E6" w:rsidRDefault="00B0130F">
      <w:pPr>
        <w:pStyle w:val="Saturs1"/>
        <w:tabs>
          <w:tab w:val="left" w:pos="1320"/>
        </w:tabs>
        <w:rPr>
          <w:rFonts w:eastAsiaTheme="minorEastAsia"/>
          <w:noProof/>
          <w:lang w:val="en-GB" w:eastAsia="lv-LV"/>
        </w:rPr>
      </w:pPr>
      <w:hyperlink w:anchor="_Toc77714122" w:history="1">
        <w:r w:rsidR="00DB730E" w:rsidRPr="007504E6">
          <w:rPr>
            <w:rStyle w:val="Hipersaite"/>
            <w:rFonts w:ascii="Times New Roman" w:hAnsi="Times New Roman" w:cs="Times New Roman"/>
            <w:noProof/>
            <w:lang w:val="en-GB"/>
          </w:rPr>
          <w:t>2.</w:t>
        </w:r>
        <w:r w:rsidR="00DB730E" w:rsidRPr="007504E6">
          <w:rPr>
            <w:rFonts w:eastAsiaTheme="minorEastAsia"/>
            <w:noProof/>
            <w:lang w:val="en-GB" w:eastAsia="lv-LV"/>
          </w:rPr>
          <w:tab/>
        </w:r>
        <w:r w:rsidR="00DB730E" w:rsidRPr="007504E6">
          <w:rPr>
            <w:rStyle w:val="Hipersaite"/>
            <w:rFonts w:ascii="Times New Roman" w:hAnsi="Times New Roman" w:cs="Times New Roman"/>
            <w:noProof/>
            <w:lang w:val="en-GB"/>
          </w:rPr>
          <w:t>RESEARCH METHODOLOGY</w:t>
        </w:r>
        <w:r w:rsidR="00DB730E" w:rsidRPr="007504E6">
          <w:rPr>
            <w:noProof/>
            <w:webHidden/>
            <w:lang w:val="en-GB"/>
          </w:rPr>
          <w:tab/>
        </w:r>
        <w:r w:rsidR="00DB730E" w:rsidRPr="007504E6">
          <w:rPr>
            <w:noProof/>
            <w:webHidden/>
            <w:lang w:val="en-GB"/>
          </w:rPr>
          <w:fldChar w:fldCharType="begin"/>
        </w:r>
        <w:r w:rsidR="00DB730E" w:rsidRPr="007504E6">
          <w:rPr>
            <w:noProof/>
            <w:webHidden/>
            <w:lang w:val="en-GB"/>
          </w:rPr>
          <w:instrText xml:space="preserve"> PAGEREF _Toc77714122 \h </w:instrText>
        </w:r>
        <w:r w:rsidR="00DB730E" w:rsidRPr="007504E6">
          <w:rPr>
            <w:noProof/>
            <w:webHidden/>
            <w:lang w:val="en-GB"/>
          </w:rPr>
        </w:r>
        <w:r w:rsidR="00DB730E" w:rsidRPr="007504E6">
          <w:rPr>
            <w:noProof/>
            <w:webHidden/>
            <w:lang w:val="en-GB"/>
          </w:rPr>
          <w:fldChar w:fldCharType="separate"/>
        </w:r>
        <w:r w:rsidR="00D500F7">
          <w:rPr>
            <w:noProof/>
            <w:webHidden/>
            <w:lang w:val="en-GB"/>
          </w:rPr>
          <w:t>42</w:t>
        </w:r>
        <w:r w:rsidR="00DB730E" w:rsidRPr="007504E6">
          <w:rPr>
            <w:noProof/>
            <w:webHidden/>
            <w:lang w:val="en-GB"/>
          </w:rPr>
          <w:fldChar w:fldCharType="end"/>
        </w:r>
      </w:hyperlink>
    </w:p>
    <w:p w14:paraId="69774BBF" w14:textId="5CA67F91" w:rsidR="00DB730E" w:rsidRPr="007504E6" w:rsidRDefault="00B0130F">
      <w:pPr>
        <w:pStyle w:val="Saturs2"/>
        <w:tabs>
          <w:tab w:val="left" w:pos="1540"/>
          <w:tab w:val="right" w:leader="dot" w:pos="9017"/>
        </w:tabs>
        <w:rPr>
          <w:rFonts w:eastAsiaTheme="minorEastAsia"/>
          <w:noProof/>
          <w:lang w:val="en-GB" w:eastAsia="lv-LV"/>
        </w:rPr>
      </w:pPr>
      <w:hyperlink w:anchor="_Toc77714123" w:history="1">
        <w:r w:rsidR="00DB730E" w:rsidRPr="007504E6">
          <w:rPr>
            <w:rStyle w:val="Hipersaite"/>
            <w:rFonts w:ascii="Times New Roman" w:hAnsi="Times New Roman" w:cs="Times New Roman"/>
            <w:b/>
            <w:bCs/>
            <w:noProof/>
            <w:lang w:val="en-GB"/>
          </w:rPr>
          <w:t>2.1.</w:t>
        </w:r>
        <w:r w:rsidR="00DB730E" w:rsidRPr="007504E6">
          <w:rPr>
            <w:rFonts w:eastAsiaTheme="minorEastAsia"/>
            <w:noProof/>
            <w:lang w:val="en-GB" w:eastAsia="lv-LV"/>
          </w:rPr>
          <w:tab/>
        </w:r>
        <w:r w:rsidR="00DB730E" w:rsidRPr="007504E6">
          <w:rPr>
            <w:rStyle w:val="Hipersaite"/>
            <w:rFonts w:ascii="Times New Roman" w:hAnsi="Times New Roman" w:cs="Times New Roman"/>
            <w:b/>
            <w:bCs/>
            <w:noProof/>
            <w:lang w:val="en-GB"/>
          </w:rPr>
          <w:t>Obtaining data characterizing changes in construction costs</w:t>
        </w:r>
        <w:r w:rsidR="00DB730E" w:rsidRPr="007504E6">
          <w:rPr>
            <w:noProof/>
            <w:webHidden/>
            <w:lang w:val="en-GB"/>
          </w:rPr>
          <w:tab/>
        </w:r>
        <w:r w:rsidR="00DB730E" w:rsidRPr="007504E6">
          <w:rPr>
            <w:noProof/>
            <w:webHidden/>
            <w:lang w:val="en-GB"/>
          </w:rPr>
          <w:fldChar w:fldCharType="begin"/>
        </w:r>
        <w:r w:rsidR="00DB730E" w:rsidRPr="007504E6">
          <w:rPr>
            <w:noProof/>
            <w:webHidden/>
            <w:lang w:val="en-GB"/>
          </w:rPr>
          <w:instrText xml:space="preserve"> PAGEREF _Toc77714123 \h </w:instrText>
        </w:r>
        <w:r w:rsidR="00DB730E" w:rsidRPr="007504E6">
          <w:rPr>
            <w:noProof/>
            <w:webHidden/>
            <w:lang w:val="en-GB"/>
          </w:rPr>
        </w:r>
        <w:r w:rsidR="00DB730E" w:rsidRPr="007504E6">
          <w:rPr>
            <w:noProof/>
            <w:webHidden/>
            <w:lang w:val="en-GB"/>
          </w:rPr>
          <w:fldChar w:fldCharType="separate"/>
        </w:r>
        <w:r w:rsidR="00D500F7">
          <w:rPr>
            <w:noProof/>
            <w:webHidden/>
            <w:lang w:val="en-GB"/>
          </w:rPr>
          <w:t>42</w:t>
        </w:r>
        <w:r w:rsidR="00DB730E" w:rsidRPr="007504E6">
          <w:rPr>
            <w:noProof/>
            <w:webHidden/>
            <w:lang w:val="en-GB"/>
          </w:rPr>
          <w:fldChar w:fldCharType="end"/>
        </w:r>
      </w:hyperlink>
    </w:p>
    <w:p w14:paraId="20A1E004" w14:textId="077ACE38" w:rsidR="00DB730E" w:rsidRPr="007504E6" w:rsidRDefault="00B0130F">
      <w:pPr>
        <w:pStyle w:val="Saturs2"/>
        <w:tabs>
          <w:tab w:val="left" w:pos="1540"/>
          <w:tab w:val="right" w:leader="dot" w:pos="9017"/>
        </w:tabs>
        <w:rPr>
          <w:rFonts w:eastAsiaTheme="minorEastAsia"/>
          <w:noProof/>
          <w:lang w:val="en-GB" w:eastAsia="lv-LV"/>
        </w:rPr>
      </w:pPr>
      <w:hyperlink w:anchor="_Toc77714124" w:history="1">
        <w:r w:rsidR="00DB730E" w:rsidRPr="007504E6">
          <w:rPr>
            <w:rStyle w:val="Hipersaite"/>
            <w:rFonts w:ascii="Times New Roman" w:hAnsi="Times New Roman" w:cs="Times New Roman"/>
            <w:b/>
            <w:bCs/>
            <w:noProof/>
            <w:lang w:val="en-GB"/>
          </w:rPr>
          <w:t>2.2.</w:t>
        </w:r>
        <w:r w:rsidR="00DB730E" w:rsidRPr="007504E6">
          <w:rPr>
            <w:rFonts w:eastAsiaTheme="minorEastAsia"/>
            <w:noProof/>
            <w:lang w:val="en-GB" w:eastAsia="lv-LV"/>
          </w:rPr>
          <w:tab/>
        </w:r>
        <w:r w:rsidR="00DB730E" w:rsidRPr="007504E6">
          <w:rPr>
            <w:rStyle w:val="Hipersaite"/>
            <w:rFonts w:ascii="Times New Roman" w:hAnsi="Times New Roman" w:cs="Times New Roman"/>
            <w:b/>
            <w:bCs/>
            <w:noProof/>
            <w:lang w:val="en-GB"/>
          </w:rPr>
          <w:t>Data analysis</w:t>
        </w:r>
        <w:r w:rsidR="00DB730E" w:rsidRPr="007504E6">
          <w:rPr>
            <w:noProof/>
            <w:webHidden/>
            <w:lang w:val="en-GB"/>
          </w:rPr>
          <w:tab/>
        </w:r>
        <w:r w:rsidR="00DB730E" w:rsidRPr="007504E6">
          <w:rPr>
            <w:noProof/>
            <w:webHidden/>
            <w:lang w:val="en-GB"/>
          </w:rPr>
          <w:fldChar w:fldCharType="begin"/>
        </w:r>
        <w:r w:rsidR="00DB730E" w:rsidRPr="007504E6">
          <w:rPr>
            <w:noProof/>
            <w:webHidden/>
            <w:lang w:val="en-GB"/>
          </w:rPr>
          <w:instrText xml:space="preserve"> PAGEREF _Toc77714124 \h </w:instrText>
        </w:r>
        <w:r w:rsidR="00DB730E" w:rsidRPr="007504E6">
          <w:rPr>
            <w:noProof/>
            <w:webHidden/>
            <w:lang w:val="en-GB"/>
          </w:rPr>
        </w:r>
        <w:r w:rsidR="00DB730E" w:rsidRPr="007504E6">
          <w:rPr>
            <w:noProof/>
            <w:webHidden/>
            <w:lang w:val="en-GB"/>
          </w:rPr>
          <w:fldChar w:fldCharType="separate"/>
        </w:r>
        <w:r w:rsidR="00D500F7">
          <w:rPr>
            <w:noProof/>
            <w:webHidden/>
            <w:lang w:val="en-GB"/>
          </w:rPr>
          <w:t>46</w:t>
        </w:r>
        <w:r w:rsidR="00DB730E" w:rsidRPr="007504E6">
          <w:rPr>
            <w:noProof/>
            <w:webHidden/>
            <w:lang w:val="en-GB"/>
          </w:rPr>
          <w:fldChar w:fldCharType="end"/>
        </w:r>
      </w:hyperlink>
    </w:p>
    <w:p w14:paraId="7D1BB611" w14:textId="4F3FDD45" w:rsidR="00DB730E" w:rsidRPr="007504E6" w:rsidRDefault="00B0130F">
      <w:pPr>
        <w:pStyle w:val="Saturs1"/>
        <w:rPr>
          <w:rFonts w:eastAsiaTheme="minorEastAsia"/>
          <w:noProof/>
          <w:lang w:val="en-GB" w:eastAsia="lv-LV"/>
        </w:rPr>
      </w:pPr>
      <w:hyperlink w:anchor="_Toc77714125" w:history="1">
        <w:r w:rsidR="00DB730E" w:rsidRPr="007504E6">
          <w:rPr>
            <w:rStyle w:val="Hipersaite"/>
            <w:rFonts w:ascii="Times New Roman" w:hAnsi="Times New Roman" w:cs="Times New Roman"/>
            <w:b/>
            <w:bCs/>
            <w:noProof/>
            <w:lang w:val="en-GB"/>
          </w:rPr>
          <w:t>CONCLUSIONS</w:t>
        </w:r>
        <w:r w:rsidR="00DB730E" w:rsidRPr="007504E6">
          <w:rPr>
            <w:noProof/>
            <w:webHidden/>
            <w:lang w:val="en-GB"/>
          </w:rPr>
          <w:tab/>
        </w:r>
        <w:r w:rsidR="00DB730E" w:rsidRPr="007504E6">
          <w:rPr>
            <w:noProof/>
            <w:webHidden/>
            <w:lang w:val="en-GB"/>
          </w:rPr>
          <w:fldChar w:fldCharType="begin"/>
        </w:r>
        <w:r w:rsidR="00DB730E" w:rsidRPr="007504E6">
          <w:rPr>
            <w:noProof/>
            <w:webHidden/>
            <w:lang w:val="en-GB"/>
          </w:rPr>
          <w:instrText xml:space="preserve"> PAGEREF _Toc77714125 \h </w:instrText>
        </w:r>
        <w:r w:rsidR="00DB730E" w:rsidRPr="007504E6">
          <w:rPr>
            <w:noProof/>
            <w:webHidden/>
            <w:lang w:val="en-GB"/>
          </w:rPr>
        </w:r>
        <w:r w:rsidR="00DB730E" w:rsidRPr="007504E6">
          <w:rPr>
            <w:noProof/>
            <w:webHidden/>
            <w:lang w:val="en-GB"/>
          </w:rPr>
          <w:fldChar w:fldCharType="separate"/>
        </w:r>
        <w:r w:rsidR="00D500F7">
          <w:rPr>
            <w:noProof/>
            <w:webHidden/>
            <w:lang w:val="en-GB"/>
          </w:rPr>
          <w:t>52</w:t>
        </w:r>
        <w:r w:rsidR="00DB730E" w:rsidRPr="007504E6">
          <w:rPr>
            <w:noProof/>
            <w:webHidden/>
            <w:lang w:val="en-GB"/>
          </w:rPr>
          <w:fldChar w:fldCharType="end"/>
        </w:r>
      </w:hyperlink>
    </w:p>
    <w:p w14:paraId="2B24A85B" w14:textId="278AB9A0" w:rsidR="00DB730E" w:rsidRPr="007504E6" w:rsidRDefault="00B0130F">
      <w:pPr>
        <w:pStyle w:val="Saturs1"/>
        <w:rPr>
          <w:rFonts w:eastAsiaTheme="minorEastAsia"/>
          <w:noProof/>
          <w:lang w:val="en-GB" w:eastAsia="lv-LV"/>
        </w:rPr>
      </w:pPr>
      <w:hyperlink w:anchor="_Toc77714126" w:history="1">
        <w:r w:rsidR="00DB730E" w:rsidRPr="007504E6">
          <w:rPr>
            <w:rStyle w:val="Hipersaite"/>
            <w:rFonts w:ascii="Times New Roman" w:hAnsi="Times New Roman" w:cs="Times New Roman"/>
            <w:b/>
            <w:bCs/>
            <w:noProof/>
            <w:lang w:val="en-GB"/>
          </w:rPr>
          <w:t>RESEARCH ANNOTATION (EN)</w:t>
        </w:r>
        <w:r w:rsidR="00DB730E" w:rsidRPr="007504E6">
          <w:rPr>
            <w:noProof/>
            <w:webHidden/>
            <w:lang w:val="en-GB"/>
          </w:rPr>
          <w:tab/>
        </w:r>
        <w:r w:rsidR="00DB730E" w:rsidRPr="007504E6">
          <w:rPr>
            <w:noProof/>
            <w:webHidden/>
            <w:lang w:val="en-GB"/>
          </w:rPr>
          <w:fldChar w:fldCharType="begin"/>
        </w:r>
        <w:r w:rsidR="00DB730E" w:rsidRPr="007504E6">
          <w:rPr>
            <w:noProof/>
            <w:webHidden/>
            <w:lang w:val="en-GB"/>
          </w:rPr>
          <w:instrText xml:space="preserve"> PAGEREF _Toc77714126 \h </w:instrText>
        </w:r>
        <w:r w:rsidR="00DB730E" w:rsidRPr="007504E6">
          <w:rPr>
            <w:noProof/>
            <w:webHidden/>
            <w:lang w:val="en-GB"/>
          </w:rPr>
        </w:r>
        <w:r w:rsidR="00DB730E" w:rsidRPr="007504E6">
          <w:rPr>
            <w:noProof/>
            <w:webHidden/>
            <w:lang w:val="en-GB"/>
          </w:rPr>
          <w:fldChar w:fldCharType="separate"/>
        </w:r>
        <w:r w:rsidR="00D500F7">
          <w:rPr>
            <w:noProof/>
            <w:webHidden/>
            <w:lang w:val="en-GB"/>
          </w:rPr>
          <w:t>56</w:t>
        </w:r>
        <w:r w:rsidR="00DB730E" w:rsidRPr="007504E6">
          <w:rPr>
            <w:noProof/>
            <w:webHidden/>
            <w:lang w:val="en-GB"/>
          </w:rPr>
          <w:fldChar w:fldCharType="end"/>
        </w:r>
      </w:hyperlink>
    </w:p>
    <w:p w14:paraId="385B8067" w14:textId="6A0ED84D" w:rsidR="00DB730E" w:rsidRPr="007504E6" w:rsidRDefault="00B0130F">
      <w:pPr>
        <w:pStyle w:val="Saturs1"/>
        <w:rPr>
          <w:rFonts w:eastAsiaTheme="minorEastAsia"/>
          <w:noProof/>
          <w:lang w:val="en-GB" w:eastAsia="lv-LV"/>
        </w:rPr>
      </w:pPr>
      <w:hyperlink w:anchor="_Toc77714127" w:history="1">
        <w:r w:rsidR="00DB730E" w:rsidRPr="007504E6">
          <w:rPr>
            <w:rStyle w:val="Hipersaite"/>
            <w:rFonts w:ascii="Times New Roman" w:hAnsi="Times New Roman" w:cs="Times New Roman"/>
            <w:b/>
            <w:bCs/>
            <w:noProof/>
            <w:lang w:val="en-GB"/>
          </w:rPr>
          <w:t>LIST OF EXPERTS</w:t>
        </w:r>
        <w:r w:rsidR="00DB730E" w:rsidRPr="007504E6">
          <w:rPr>
            <w:noProof/>
            <w:webHidden/>
            <w:lang w:val="en-GB"/>
          </w:rPr>
          <w:tab/>
        </w:r>
        <w:r w:rsidR="00DB730E" w:rsidRPr="007504E6">
          <w:rPr>
            <w:noProof/>
            <w:webHidden/>
            <w:lang w:val="en-GB"/>
          </w:rPr>
          <w:fldChar w:fldCharType="begin"/>
        </w:r>
        <w:r w:rsidR="00DB730E" w:rsidRPr="007504E6">
          <w:rPr>
            <w:noProof/>
            <w:webHidden/>
            <w:lang w:val="en-GB"/>
          </w:rPr>
          <w:instrText xml:space="preserve"> PAGEREF _Toc77714127 \h </w:instrText>
        </w:r>
        <w:r w:rsidR="00DB730E" w:rsidRPr="007504E6">
          <w:rPr>
            <w:noProof/>
            <w:webHidden/>
            <w:lang w:val="en-GB"/>
          </w:rPr>
        </w:r>
        <w:r w:rsidR="00DB730E" w:rsidRPr="007504E6">
          <w:rPr>
            <w:noProof/>
            <w:webHidden/>
            <w:lang w:val="en-GB"/>
          </w:rPr>
          <w:fldChar w:fldCharType="separate"/>
        </w:r>
        <w:r w:rsidR="00D500F7">
          <w:rPr>
            <w:noProof/>
            <w:webHidden/>
            <w:lang w:val="en-GB"/>
          </w:rPr>
          <w:t>57</w:t>
        </w:r>
        <w:r w:rsidR="00DB730E" w:rsidRPr="007504E6">
          <w:rPr>
            <w:noProof/>
            <w:webHidden/>
            <w:lang w:val="en-GB"/>
          </w:rPr>
          <w:fldChar w:fldCharType="end"/>
        </w:r>
      </w:hyperlink>
    </w:p>
    <w:p w14:paraId="2959C4FD" w14:textId="76C2363F" w:rsidR="00DB730E" w:rsidRPr="007504E6" w:rsidRDefault="00B0130F">
      <w:pPr>
        <w:pStyle w:val="Saturs2"/>
        <w:tabs>
          <w:tab w:val="right" w:leader="dot" w:pos="9017"/>
        </w:tabs>
        <w:rPr>
          <w:rFonts w:eastAsiaTheme="minorEastAsia"/>
          <w:noProof/>
          <w:lang w:val="en-GB" w:eastAsia="lv-LV"/>
        </w:rPr>
      </w:pPr>
      <w:hyperlink w:anchor="_Toc77714128" w:history="1">
        <w:r w:rsidR="00DB730E" w:rsidRPr="007504E6">
          <w:rPr>
            <w:rStyle w:val="Hipersaite"/>
            <w:rFonts w:ascii="Times New Roman" w:hAnsi="Times New Roman" w:cs="Times New Roman"/>
            <w:noProof/>
            <w:lang w:val="en-GB"/>
          </w:rPr>
          <w:t>Organizations involved in the general expert survey</w:t>
        </w:r>
        <w:r w:rsidR="00DB730E" w:rsidRPr="007504E6">
          <w:rPr>
            <w:noProof/>
            <w:webHidden/>
            <w:lang w:val="en-GB"/>
          </w:rPr>
          <w:tab/>
        </w:r>
        <w:r w:rsidR="00DB730E" w:rsidRPr="007504E6">
          <w:rPr>
            <w:noProof/>
            <w:webHidden/>
            <w:lang w:val="en-GB"/>
          </w:rPr>
          <w:fldChar w:fldCharType="begin"/>
        </w:r>
        <w:r w:rsidR="00DB730E" w:rsidRPr="007504E6">
          <w:rPr>
            <w:noProof/>
            <w:webHidden/>
            <w:lang w:val="en-GB"/>
          </w:rPr>
          <w:instrText xml:space="preserve"> PAGEREF _Toc77714128 \h </w:instrText>
        </w:r>
        <w:r w:rsidR="00DB730E" w:rsidRPr="007504E6">
          <w:rPr>
            <w:noProof/>
            <w:webHidden/>
            <w:lang w:val="en-GB"/>
          </w:rPr>
        </w:r>
        <w:r w:rsidR="00DB730E" w:rsidRPr="007504E6">
          <w:rPr>
            <w:noProof/>
            <w:webHidden/>
            <w:lang w:val="en-GB"/>
          </w:rPr>
          <w:fldChar w:fldCharType="separate"/>
        </w:r>
        <w:r w:rsidR="00D500F7">
          <w:rPr>
            <w:noProof/>
            <w:webHidden/>
            <w:lang w:val="en-GB"/>
          </w:rPr>
          <w:t>57</w:t>
        </w:r>
        <w:r w:rsidR="00DB730E" w:rsidRPr="007504E6">
          <w:rPr>
            <w:noProof/>
            <w:webHidden/>
            <w:lang w:val="en-GB"/>
          </w:rPr>
          <w:fldChar w:fldCharType="end"/>
        </w:r>
      </w:hyperlink>
    </w:p>
    <w:p w14:paraId="73E6E204" w14:textId="2FC54936" w:rsidR="00DB730E" w:rsidRPr="007504E6" w:rsidRDefault="00B0130F">
      <w:pPr>
        <w:pStyle w:val="Saturs2"/>
        <w:tabs>
          <w:tab w:val="right" w:leader="dot" w:pos="9017"/>
        </w:tabs>
        <w:rPr>
          <w:rFonts w:eastAsiaTheme="minorEastAsia"/>
          <w:noProof/>
          <w:lang w:val="en-GB" w:eastAsia="lv-LV"/>
        </w:rPr>
      </w:pPr>
      <w:hyperlink w:anchor="_Toc77714129" w:history="1">
        <w:r w:rsidR="00DB730E" w:rsidRPr="007504E6">
          <w:rPr>
            <w:rStyle w:val="Hipersaite"/>
            <w:rFonts w:ascii="Times New Roman" w:hAnsi="Times New Roman" w:cs="Times New Roman"/>
            <w:noProof/>
            <w:lang w:val="en-GB"/>
          </w:rPr>
          <w:t>Organizations involved in the sub - sector expert survey</w:t>
        </w:r>
        <w:r w:rsidR="00DB730E" w:rsidRPr="007504E6">
          <w:rPr>
            <w:noProof/>
            <w:webHidden/>
            <w:lang w:val="en-GB"/>
          </w:rPr>
          <w:tab/>
        </w:r>
        <w:r w:rsidR="00DB730E" w:rsidRPr="007504E6">
          <w:rPr>
            <w:noProof/>
            <w:webHidden/>
            <w:lang w:val="en-GB"/>
          </w:rPr>
          <w:fldChar w:fldCharType="begin"/>
        </w:r>
        <w:r w:rsidR="00DB730E" w:rsidRPr="007504E6">
          <w:rPr>
            <w:noProof/>
            <w:webHidden/>
            <w:lang w:val="en-GB"/>
          </w:rPr>
          <w:instrText xml:space="preserve"> PAGEREF _Toc77714129 \h </w:instrText>
        </w:r>
        <w:r w:rsidR="00DB730E" w:rsidRPr="007504E6">
          <w:rPr>
            <w:noProof/>
            <w:webHidden/>
            <w:lang w:val="en-GB"/>
          </w:rPr>
        </w:r>
        <w:r w:rsidR="00DB730E" w:rsidRPr="007504E6">
          <w:rPr>
            <w:noProof/>
            <w:webHidden/>
            <w:lang w:val="en-GB"/>
          </w:rPr>
          <w:fldChar w:fldCharType="separate"/>
        </w:r>
        <w:r w:rsidR="00D500F7">
          <w:rPr>
            <w:noProof/>
            <w:webHidden/>
            <w:lang w:val="en-GB"/>
          </w:rPr>
          <w:t>57</w:t>
        </w:r>
        <w:r w:rsidR="00DB730E" w:rsidRPr="007504E6">
          <w:rPr>
            <w:noProof/>
            <w:webHidden/>
            <w:lang w:val="en-GB"/>
          </w:rPr>
          <w:fldChar w:fldCharType="end"/>
        </w:r>
      </w:hyperlink>
    </w:p>
    <w:p w14:paraId="17CE17E4" w14:textId="7B79B7EC" w:rsidR="00FB51B9" w:rsidRPr="007504E6" w:rsidRDefault="00E5311E" w:rsidP="00FB51B9">
      <w:pPr>
        <w:rPr>
          <w:rFonts w:ascii="Times New Roman" w:hAnsi="Times New Roman" w:cs="Times New Roman"/>
          <w:lang w:val="en-GB"/>
        </w:rPr>
      </w:pPr>
      <w:r w:rsidRPr="007504E6">
        <w:rPr>
          <w:rFonts w:ascii="Times New Roman" w:hAnsi="Times New Roman" w:cs="Times New Roman"/>
          <w:lang w:val="en-GB"/>
        </w:rPr>
        <w:fldChar w:fldCharType="end"/>
      </w:r>
    </w:p>
    <w:p w14:paraId="3C635516" w14:textId="72B2110D" w:rsidR="0000289B" w:rsidRPr="007504E6" w:rsidRDefault="00420DDC" w:rsidP="00B7359A">
      <w:pPr>
        <w:pStyle w:val="Virsraksts1"/>
        <w:tabs>
          <w:tab w:val="left" w:pos="7855"/>
        </w:tabs>
        <w:rPr>
          <w:rFonts w:ascii="Times New Roman" w:hAnsi="Times New Roman" w:cs="Times New Roman"/>
          <w:b/>
          <w:bCs/>
          <w:color w:val="0D0D0D" w:themeColor="text1" w:themeTint="F2"/>
          <w:lang w:val="en-GB"/>
        </w:rPr>
      </w:pPr>
      <w:bookmarkStart w:id="1" w:name="_Toc77714114"/>
      <w:r w:rsidRPr="007504E6">
        <w:rPr>
          <w:rFonts w:ascii="Times New Roman" w:hAnsi="Times New Roman" w:cs="Times New Roman"/>
          <w:b/>
          <w:bCs/>
          <w:noProof/>
          <w:color w:val="000000" w:themeColor="text1"/>
          <w:lang w:val="en-GB"/>
        </w:rPr>
        <w:drawing>
          <wp:anchor distT="0" distB="0" distL="114300" distR="114300" simplePos="0" relativeHeight="251698176" behindDoc="0" locked="0" layoutInCell="1" allowOverlap="1" wp14:anchorId="15A5E5EE" wp14:editId="6BE65D8F">
            <wp:simplePos x="0" y="0"/>
            <wp:positionH relativeFrom="column">
              <wp:posOffset>5539105</wp:posOffset>
            </wp:positionH>
            <wp:positionV relativeFrom="paragraph">
              <wp:posOffset>-393065</wp:posOffset>
            </wp:positionV>
            <wp:extent cx="1319916" cy="1319916"/>
            <wp:effectExtent l="0" t="0" r="0" b="0"/>
            <wp:wrapNone/>
            <wp:docPr id="196" name="Graphic 196" descr="One solid circle, one ring, and one circle filled with diagon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Graphic 196" descr="One solid circle, one ring, and one circle filled with diagonal lines"/>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319916" cy="1319916"/>
                    </a:xfrm>
                    <a:prstGeom prst="rect">
                      <a:avLst/>
                    </a:prstGeom>
                  </pic:spPr>
                </pic:pic>
              </a:graphicData>
            </a:graphic>
            <wp14:sizeRelH relativeFrom="margin">
              <wp14:pctWidth>0</wp14:pctWidth>
            </wp14:sizeRelH>
            <wp14:sizeRelV relativeFrom="margin">
              <wp14:pctHeight>0</wp14:pctHeight>
            </wp14:sizeRelV>
          </wp:anchor>
        </w:drawing>
      </w:r>
      <w:r w:rsidR="00345B37" w:rsidRPr="007504E6">
        <w:rPr>
          <w:rFonts w:ascii="Times New Roman" w:hAnsi="Times New Roman" w:cs="Times New Roman"/>
          <w:b/>
          <w:bCs/>
          <w:color w:val="0D0D0D" w:themeColor="text1" w:themeTint="F2"/>
          <w:lang w:val="en-GB"/>
        </w:rPr>
        <w:t>SUMMARY</w:t>
      </w:r>
      <w:bookmarkEnd w:id="1"/>
      <w:r w:rsidR="00B7359A" w:rsidRPr="007504E6">
        <w:rPr>
          <w:rFonts w:ascii="Times New Roman" w:hAnsi="Times New Roman" w:cs="Times New Roman"/>
          <w:b/>
          <w:bCs/>
          <w:color w:val="0D0D0D" w:themeColor="text1" w:themeTint="F2"/>
          <w:lang w:val="en-GB"/>
        </w:rPr>
        <w:tab/>
      </w:r>
    </w:p>
    <w:p w14:paraId="79D1F6FA" w14:textId="4D69DBD1" w:rsidR="0015100E" w:rsidRPr="007504E6" w:rsidRDefault="0015100E" w:rsidP="00856842">
      <w:pPr>
        <w:ind w:firstLine="0"/>
        <w:rPr>
          <w:rFonts w:ascii="Times New Roman" w:hAnsi="Times New Roman" w:cs="Times New Roman"/>
          <w:b/>
          <w:bCs/>
          <w:sz w:val="32"/>
          <w:szCs w:val="32"/>
          <w:lang w:val="en-GB"/>
        </w:rPr>
      </w:pPr>
      <w:r w:rsidRPr="007504E6">
        <w:rPr>
          <w:rFonts w:ascii="Times New Roman" w:hAnsi="Times New Roman" w:cs="Times New Roman"/>
          <w:noProof/>
          <w:lang w:val="en-GB"/>
        </w:rPr>
        <w:drawing>
          <wp:inline distT="0" distB="0" distL="0" distR="0" wp14:anchorId="6816BC40" wp14:editId="28BF8CCD">
            <wp:extent cx="6626386" cy="9541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974436" cy="100428"/>
                    </a:xfrm>
                    <a:prstGeom prst="rect">
                      <a:avLst/>
                    </a:prstGeom>
                  </pic:spPr>
                </pic:pic>
              </a:graphicData>
            </a:graphic>
          </wp:inline>
        </w:drawing>
      </w:r>
    </w:p>
    <w:p w14:paraId="5B960C9B" w14:textId="77777777" w:rsidR="0000289B" w:rsidRPr="007504E6" w:rsidRDefault="0000289B" w:rsidP="0000289B">
      <w:pPr>
        <w:pStyle w:val="Sarakstarindkopa"/>
        <w:spacing w:line="276" w:lineRule="auto"/>
        <w:ind w:left="0" w:firstLine="0"/>
        <w:rPr>
          <w:rFonts w:ascii="Times New Roman" w:eastAsia="Calibri" w:hAnsi="Times New Roman" w:cs="Times New Roman"/>
          <w:lang w:val="en-GB"/>
        </w:rPr>
      </w:pPr>
    </w:p>
    <w:p w14:paraId="348BEEF4" w14:textId="238FD00F" w:rsidR="00345B37" w:rsidRPr="007504E6" w:rsidRDefault="006369E8" w:rsidP="00345B37">
      <w:pPr>
        <w:spacing w:line="276" w:lineRule="auto"/>
        <w:ind w:firstLine="0"/>
        <w:rPr>
          <w:rFonts w:ascii="Times New Roman" w:eastAsia="Calibri" w:hAnsi="Times New Roman" w:cs="Times New Roman"/>
          <w:lang w:val="en-GB"/>
        </w:rPr>
      </w:pPr>
      <w:r w:rsidRPr="007504E6">
        <w:rPr>
          <w:rFonts w:ascii="Times New Roman" w:eastAsia="Calibri" w:hAnsi="Times New Roman" w:cs="Times New Roman"/>
          <w:lang w:val="en-GB"/>
        </w:rPr>
        <w:t>To</w:t>
      </w:r>
      <w:r w:rsidR="00345B37" w:rsidRPr="007504E6">
        <w:rPr>
          <w:rFonts w:ascii="Times New Roman" w:eastAsia="Calibri" w:hAnsi="Times New Roman" w:cs="Times New Roman"/>
          <w:lang w:val="en-GB"/>
        </w:rPr>
        <w:t xml:space="preserve"> be able to more effectively plan the potential costs of public construction procurement and assess possible price changes in the coming years, the Ministry of Economics (</w:t>
      </w:r>
      <w:proofErr w:type="spellStart"/>
      <w:r w:rsidR="00345B37" w:rsidRPr="007504E6">
        <w:rPr>
          <w:rFonts w:ascii="Times New Roman" w:eastAsia="Calibri" w:hAnsi="Times New Roman" w:cs="Times New Roman"/>
          <w:lang w:val="en-GB"/>
        </w:rPr>
        <w:t>MoE</w:t>
      </w:r>
      <w:proofErr w:type="spellEnd"/>
      <w:r w:rsidR="00345B37" w:rsidRPr="007504E6">
        <w:rPr>
          <w:rFonts w:ascii="Times New Roman" w:eastAsia="Calibri" w:hAnsi="Times New Roman" w:cs="Times New Roman"/>
          <w:lang w:val="en-GB"/>
        </w:rPr>
        <w:t xml:space="preserve">) annually from 2018 assesses projected changes in </w:t>
      </w:r>
      <w:proofErr w:type="spellStart"/>
      <w:r w:rsidR="00345B37" w:rsidRPr="007504E6">
        <w:rPr>
          <w:rFonts w:ascii="Times New Roman" w:eastAsia="Calibri" w:hAnsi="Times New Roman" w:cs="Times New Roman"/>
          <w:lang w:val="en-GB"/>
        </w:rPr>
        <w:t>labor</w:t>
      </w:r>
      <w:proofErr w:type="spellEnd"/>
      <w:r w:rsidR="00345B37" w:rsidRPr="007504E6">
        <w:rPr>
          <w:rFonts w:ascii="Times New Roman" w:eastAsia="Calibri" w:hAnsi="Times New Roman" w:cs="Times New Roman"/>
          <w:lang w:val="en-GB"/>
        </w:rPr>
        <w:t xml:space="preserve"> and construction costs in the construction sector and their impact on the economy.</w:t>
      </w:r>
    </w:p>
    <w:p w14:paraId="775AD982" w14:textId="77777777" w:rsidR="00345B37" w:rsidRPr="007504E6" w:rsidRDefault="00345B37" w:rsidP="00345B37">
      <w:pPr>
        <w:spacing w:line="276" w:lineRule="auto"/>
        <w:ind w:firstLine="0"/>
        <w:rPr>
          <w:rFonts w:ascii="Times New Roman" w:eastAsia="Calibri" w:hAnsi="Times New Roman" w:cs="Times New Roman"/>
          <w:lang w:val="en-GB"/>
        </w:rPr>
      </w:pPr>
    </w:p>
    <w:p w14:paraId="63D4AA95" w14:textId="771A24B0" w:rsidR="00266E91" w:rsidRPr="007504E6" w:rsidRDefault="00345B37" w:rsidP="00345B37">
      <w:pPr>
        <w:spacing w:line="276" w:lineRule="auto"/>
        <w:ind w:firstLine="0"/>
        <w:rPr>
          <w:rFonts w:ascii="Times New Roman" w:hAnsi="Times New Roman" w:cs="Times New Roman"/>
          <w:lang w:val="en-GB"/>
        </w:rPr>
      </w:pPr>
      <w:r w:rsidRPr="007504E6">
        <w:rPr>
          <w:rFonts w:ascii="Times New Roman" w:eastAsia="Calibri" w:hAnsi="Times New Roman" w:cs="Times New Roman"/>
          <w:lang w:val="en-GB"/>
        </w:rPr>
        <w:t xml:space="preserve">A unique multifactor methodology has been scientifically developed for forecasting, which includes complex both statistical and expert assessments. Reports from previous years show that the </w:t>
      </w:r>
      <w:proofErr w:type="spellStart"/>
      <w:r w:rsidRPr="007504E6">
        <w:rPr>
          <w:rFonts w:ascii="Times New Roman" w:eastAsia="Calibri" w:hAnsi="Times New Roman" w:cs="Times New Roman"/>
          <w:lang w:val="en-GB"/>
        </w:rPr>
        <w:t>MoE</w:t>
      </w:r>
      <w:proofErr w:type="spellEnd"/>
      <w:r w:rsidRPr="007504E6">
        <w:rPr>
          <w:rFonts w:ascii="Times New Roman" w:eastAsia="Calibri" w:hAnsi="Times New Roman" w:cs="Times New Roman"/>
          <w:lang w:val="en-GB"/>
        </w:rPr>
        <w:t xml:space="preserve"> has obtained highly reliable annual forecasts, despite drastic fluctuations in the construction sector. The forecasts obtained in 2020, despite the pronounced uncertainty in the economy and the state of emergency in the country, differed in the volume forecasts by only 0.4 pp and in the cost forecasts by only 1.4 pp.</w:t>
      </w:r>
    </w:p>
    <w:p w14:paraId="1BFF791B" w14:textId="25FBE685" w:rsidR="005F622A" w:rsidRPr="007504E6" w:rsidRDefault="00C93139" w:rsidP="005F622A">
      <w:pPr>
        <w:pStyle w:val="Parakstszemobjekta"/>
        <w:spacing w:after="0"/>
        <w:jc w:val="right"/>
        <w:rPr>
          <w:rFonts w:ascii="Times New Roman" w:hAnsi="Times New Roman" w:cs="Times New Roman"/>
          <w:lang w:val="en-GB"/>
        </w:rPr>
      </w:pPr>
      <w:r w:rsidRPr="007504E6">
        <w:rPr>
          <w:rFonts w:ascii="Times New Roman" w:hAnsi="Times New Roman" w:cs="Times New Roman"/>
          <w:lang w:val="en-GB"/>
        </w:rPr>
        <w:t>Table</w:t>
      </w:r>
      <w:r w:rsidR="005F622A" w:rsidRPr="007504E6">
        <w:rPr>
          <w:rFonts w:ascii="Times New Roman" w:hAnsi="Times New Roman" w:cs="Times New Roman"/>
          <w:lang w:val="en-GB"/>
        </w:rPr>
        <w:t xml:space="preserve">  </w:t>
      </w:r>
      <w:r w:rsidR="005F622A" w:rsidRPr="007504E6">
        <w:rPr>
          <w:rFonts w:ascii="Times New Roman" w:hAnsi="Times New Roman" w:cs="Times New Roman"/>
          <w:lang w:val="en-GB"/>
        </w:rPr>
        <w:fldChar w:fldCharType="begin"/>
      </w:r>
      <w:r w:rsidR="005F622A" w:rsidRPr="007504E6">
        <w:rPr>
          <w:rFonts w:ascii="Times New Roman" w:hAnsi="Times New Roman" w:cs="Times New Roman"/>
          <w:lang w:val="en-GB"/>
        </w:rPr>
        <w:instrText xml:space="preserve"> SEQ Tab._ \* ARABIC </w:instrText>
      </w:r>
      <w:r w:rsidR="005F622A" w:rsidRPr="007504E6">
        <w:rPr>
          <w:rFonts w:ascii="Times New Roman" w:hAnsi="Times New Roman" w:cs="Times New Roman"/>
          <w:lang w:val="en-GB"/>
        </w:rPr>
        <w:fldChar w:fldCharType="separate"/>
      </w:r>
      <w:r w:rsidR="00D500F7">
        <w:rPr>
          <w:rFonts w:ascii="Times New Roman" w:hAnsi="Times New Roman" w:cs="Times New Roman"/>
          <w:noProof/>
          <w:lang w:val="en-GB"/>
        </w:rPr>
        <w:t>1</w:t>
      </w:r>
      <w:r w:rsidR="005F622A" w:rsidRPr="007504E6">
        <w:rPr>
          <w:rFonts w:ascii="Times New Roman" w:hAnsi="Times New Roman" w:cs="Times New Roman"/>
          <w:noProof/>
          <w:lang w:val="en-GB"/>
        </w:rPr>
        <w:fldChar w:fldCharType="end"/>
      </w:r>
      <w:r w:rsidR="005F622A" w:rsidRPr="007504E6">
        <w:rPr>
          <w:rFonts w:ascii="Times New Roman" w:hAnsi="Times New Roman" w:cs="Times New Roman"/>
          <w:lang w:val="en-GB"/>
        </w:rPr>
        <w:t xml:space="preserve">. </w:t>
      </w:r>
    </w:p>
    <w:p w14:paraId="768C5CEF" w14:textId="4878C0BA" w:rsidR="00FD78C6" w:rsidRPr="007504E6" w:rsidRDefault="0058391C" w:rsidP="005F622A">
      <w:pPr>
        <w:pStyle w:val="Parakstszemobjekta"/>
        <w:spacing w:after="0"/>
        <w:jc w:val="right"/>
        <w:rPr>
          <w:rFonts w:ascii="Times New Roman" w:hAnsi="Times New Roman" w:cs="Times New Roman"/>
          <w:lang w:val="en-GB"/>
        </w:rPr>
      </w:pPr>
      <w:r w:rsidRPr="007504E6">
        <w:rPr>
          <w:rFonts w:ascii="Times New Roman" w:hAnsi="Times New Roman" w:cs="Times New Roman"/>
          <w:lang w:val="en-GB"/>
        </w:rPr>
        <w:t>Comparison of actual changes in construction output and costs against forecasts. Source: CSB data and construction change studies performed on behalf of the Ministry of Economics in 2018, 2019 and 2020</w:t>
      </w:r>
      <w:r w:rsidR="005F622A" w:rsidRPr="007504E6">
        <w:rPr>
          <w:rFonts w:ascii="Times New Roman" w:hAnsi="Times New Roman" w:cs="Times New Roman"/>
          <w:lang w:val="en-GB"/>
        </w:rPr>
        <w:t xml:space="preserve">. </w:t>
      </w:r>
    </w:p>
    <w:tbl>
      <w:tblPr>
        <w:tblStyle w:val="GridTable31"/>
        <w:tblW w:w="0" w:type="auto"/>
        <w:tblLook w:val="04A0" w:firstRow="1" w:lastRow="0" w:firstColumn="1" w:lastColumn="0" w:noHBand="0" w:noVBand="1"/>
      </w:tblPr>
      <w:tblGrid>
        <w:gridCol w:w="800"/>
        <w:gridCol w:w="760"/>
        <w:gridCol w:w="760"/>
        <w:gridCol w:w="717"/>
        <w:gridCol w:w="760"/>
        <w:gridCol w:w="717"/>
        <w:gridCol w:w="875"/>
        <w:gridCol w:w="1269"/>
        <w:gridCol w:w="878"/>
        <w:gridCol w:w="764"/>
        <w:gridCol w:w="717"/>
      </w:tblGrid>
      <w:tr w:rsidR="00FD78C6" w:rsidRPr="007504E6" w14:paraId="308E80BE" w14:textId="77777777" w:rsidTr="00FD78C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17" w:type="dxa"/>
            <w:gridSpan w:val="11"/>
            <w:noWrap/>
            <w:hideMark/>
          </w:tcPr>
          <w:p w14:paraId="3635AF92" w14:textId="77777777" w:rsidR="0058391C" w:rsidRPr="007504E6" w:rsidRDefault="0058391C" w:rsidP="0058391C">
            <w:pPr>
              <w:spacing w:line="276" w:lineRule="auto"/>
              <w:ind w:firstLine="0"/>
              <w:jc w:val="center"/>
              <w:rPr>
                <w:rFonts w:ascii="Times New Roman" w:hAnsi="Times New Roman" w:cs="Times New Roman"/>
                <w:b w:val="0"/>
                <w:bCs w:val="0"/>
                <w:lang w:val="en-GB"/>
              </w:rPr>
            </w:pPr>
            <w:r w:rsidRPr="007504E6">
              <w:rPr>
                <w:rFonts w:ascii="Times New Roman" w:hAnsi="Times New Roman" w:cs="Times New Roman"/>
                <w:b w:val="0"/>
                <w:bCs w:val="0"/>
                <w:lang w:val="en-GB"/>
              </w:rPr>
              <w:t>Construction VOLUME change% compared to previous year -</w:t>
            </w:r>
          </w:p>
          <w:p w14:paraId="50B0FAB3" w14:textId="449D3A3F" w:rsidR="00FD78C6" w:rsidRPr="007504E6" w:rsidRDefault="0058391C" w:rsidP="0058391C">
            <w:pPr>
              <w:spacing w:line="276" w:lineRule="auto"/>
              <w:ind w:firstLine="0"/>
              <w:jc w:val="center"/>
              <w:rPr>
                <w:rFonts w:ascii="Times New Roman" w:hAnsi="Times New Roman" w:cs="Times New Roman"/>
                <w:lang w:val="en-GB"/>
              </w:rPr>
            </w:pPr>
            <w:r w:rsidRPr="007504E6">
              <w:rPr>
                <w:rFonts w:ascii="Times New Roman" w:hAnsi="Times New Roman" w:cs="Times New Roman"/>
                <w:b w:val="0"/>
                <w:bCs w:val="0"/>
                <w:lang w:val="en-GB"/>
              </w:rPr>
              <w:t>actual comparison with forecast</w:t>
            </w:r>
          </w:p>
        </w:tc>
      </w:tr>
      <w:tr w:rsidR="00FD78C6" w:rsidRPr="007504E6" w14:paraId="0BE033B1" w14:textId="77777777" w:rsidTr="00B312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65EDB916" w14:textId="7C3A9960" w:rsidR="00FD78C6" w:rsidRPr="007504E6" w:rsidRDefault="0058391C" w:rsidP="00FD78C6">
            <w:pPr>
              <w:spacing w:line="276" w:lineRule="auto"/>
              <w:ind w:firstLine="0"/>
              <w:rPr>
                <w:rFonts w:ascii="Times New Roman" w:hAnsi="Times New Roman" w:cs="Times New Roman"/>
                <w:sz w:val="16"/>
                <w:szCs w:val="16"/>
                <w:lang w:val="en-GB"/>
              </w:rPr>
            </w:pPr>
            <w:r w:rsidRPr="007504E6">
              <w:rPr>
                <w:rFonts w:ascii="Times New Roman" w:hAnsi="Times New Roman" w:cs="Times New Roman"/>
                <w:sz w:val="16"/>
                <w:szCs w:val="16"/>
                <w:lang w:val="en-GB"/>
              </w:rPr>
              <w:t>Year</w:t>
            </w:r>
          </w:p>
        </w:tc>
        <w:tc>
          <w:tcPr>
            <w:tcW w:w="760" w:type="dxa"/>
            <w:noWrap/>
            <w:vAlign w:val="center"/>
            <w:hideMark/>
          </w:tcPr>
          <w:p w14:paraId="6BE26671" w14:textId="77777777" w:rsidR="00FD78C6" w:rsidRPr="007504E6"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lang w:val="en-GB"/>
              </w:rPr>
            </w:pPr>
            <w:r w:rsidRPr="007504E6">
              <w:rPr>
                <w:rFonts w:ascii="Times New Roman" w:hAnsi="Times New Roman" w:cs="Times New Roman"/>
                <w:i/>
                <w:iCs/>
                <w:sz w:val="16"/>
                <w:szCs w:val="16"/>
                <w:lang w:val="en-GB"/>
              </w:rPr>
              <w:t>2011</w:t>
            </w:r>
          </w:p>
        </w:tc>
        <w:tc>
          <w:tcPr>
            <w:tcW w:w="760" w:type="dxa"/>
            <w:noWrap/>
            <w:vAlign w:val="center"/>
            <w:hideMark/>
          </w:tcPr>
          <w:p w14:paraId="6780FB01" w14:textId="77777777" w:rsidR="00FD78C6" w:rsidRPr="007504E6"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lang w:val="en-GB"/>
              </w:rPr>
            </w:pPr>
            <w:r w:rsidRPr="007504E6">
              <w:rPr>
                <w:rFonts w:ascii="Times New Roman" w:hAnsi="Times New Roman" w:cs="Times New Roman"/>
                <w:i/>
                <w:iCs/>
                <w:sz w:val="16"/>
                <w:szCs w:val="16"/>
                <w:lang w:val="en-GB"/>
              </w:rPr>
              <w:t>2012</w:t>
            </w:r>
          </w:p>
        </w:tc>
        <w:tc>
          <w:tcPr>
            <w:tcW w:w="717" w:type="dxa"/>
            <w:noWrap/>
            <w:vAlign w:val="center"/>
            <w:hideMark/>
          </w:tcPr>
          <w:p w14:paraId="5A2A3C3D" w14:textId="77777777" w:rsidR="00FD78C6" w:rsidRPr="007504E6"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lang w:val="en-GB"/>
              </w:rPr>
            </w:pPr>
            <w:r w:rsidRPr="007504E6">
              <w:rPr>
                <w:rFonts w:ascii="Times New Roman" w:hAnsi="Times New Roman" w:cs="Times New Roman"/>
                <w:i/>
                <w:iCs/>
                <w:sz w:val="16"/>
                <w:szCs w:val="16"/>
                <w:lang w:val="en-GB"/>
              </w:rPr>
              <w:t>2013</w:t>
            </w:r>
          </w:p>
        </w:tc>
        <w:tc>
          <w:tcPr>
            <w:tcW w:w="760" w:type="dxa"/>
            <w:noWrap/>
            <w:vAlign w:val="center"/>
            <w:hideMark/>
          </w:tcPr>
          <w:p w14:paraId="2155D910" w14:textId="77777777" w:rsidR="00FD78C6" w:rsidRPr="007504E6"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lang w:val="en-GB"/>
              </w:rPr>
            </w:pPr>
            <w:r w:rsidRPr="007504E6">
              <w:rPr>
                <w:rFonts w:ascii="Times New Roman" w:hAnsi="Times New Roman" w:cs="Times New Roman"/>
                <w:i/>
                <w:iCs/>
                <w:sz w:val="16"/>
                <w:szCs w:val="16"/>
                <w:lang w:val="en-GB"/>
              </w:rPr>
              <w:t>2014</w:t>
            </w:r>
          </w:p>
        </w:tc>
        <w:tc>
          <w:tcPr>
            <w:tcW w:w="717" w:type="dxa"/>
            <w:noWrap/>
            <w:vAlign w:val="center"/>
            <w:hideMark/>
          </w:tcPr>
          <w:p w14:paraId="7574F9AD" w14:textId="77777777" w:rsidR="00FD78C6" w:rsidRPr="007504E6"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lang w:val="en-GB"/>
              </w:rPr>
            </w:pPr>
            <w:r w:rsidRPr="007504E6">
              <w:rPr>
                <w:rFonts w:ascii="Times New Roman" w:hAnsi="Times New Roman" w:cs="Times New Roman"/>
                <w:i/>
                <w:iCs/>
                <w:sz w:val="16"/>
                <w:szCs w:val="16"/>
                <w:lang w:val="en-GB"/>
              </w:rPr>
              <w:t>2015</w:t>
            </w:r>
          </w:p>
        </w:tc>
        <w:tc>
          <w:tcPr>
            <w:tcW w:w="875" w:type="dxa"/>
            <w:noWrap/>
            <w:vAlign w:val="center"/>
            <w:hideMark/>
          </w:tcPr>
          <w:p w14:paraId="239B4AE6" w14:textId="77777777" w:rsidR="00FD78C6" w:rsidRPr="007504E6"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lang w:val="en-GB"/>
              </w:rPr>
            </w:pPr>
            <w:r w:rsidRPr="007504E6">
              <w:rPr>
                <w:rFonts w:ascii="Times New Roman" w:hAnsi="Times New Roman" w:cs="Times New Roman"/>
                <w:i/>
                <w:iCs/>
                <w:sz w:val="16"/>
                <w:szCs w:val="16"/>
                <w:lang w:val="en-GB"/>
              </w:rPr>
              <w:t>2016</w:t>
            </w:r>
          </w:p>
        </w:tc>
        <w:tc>
          <w:tcPr>
            <w:tcW w:w="1269" w:type="dxa"/>
            <w:noWrap/>
            <w:vAlign w:val="center"/>
            <w:hideMark/>
          </w:tcPr>
          <w:p w14:paraId="17952682" w14:textId="77777777" w:rsidR="00FD78C6" w:rsidRPr="007504E6"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lang w:val="en-GB"/>
              </w:rPr>
            </w:pPr>
            <w:r w:rsidRPr="007504E6">
              <w:rPr>
                <w:rFonts w:ascii="Times New Roman" w:hAnsi="Times New Roman" w:cs="Times New Roman"/>
                <w:i/>
                <w:iCs/>
                <w:sz w:val="16"/>
                <w:szCs w:val="16"/>
                <w:lang w:val="en-GB"/>
              </w:rPr>
              <w:t>2017</w:t>
            </w:r>
          </w:p>
        </w:tc>
        <w:tc>
          <w:tcPr>
            <w:tcW w:w="878" w:type="dxa"/>
            <w:noWrap/>
            <w:vAlign w:val="center"/>
            <w:hideMark/>
          </w:tcPr>
          <w:p w14:paraId="4FF3119B" w14:textId="77777777" w:rsidR="00FD78C6" w:rsidRPr="007504E6"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lang w:val="en-GB"/>
              </w:rPr>
            </w:pPr>
            <w:r w:rsidRPr="007504E6">
              <w:rPr>
                <w:rFonts w:ascii="Times New Roman" w:hAnsi="Times New Roman" w:cs="Times New Roman"/>
                <w:i/>
                <w:iCs/>
                <w:sz w:val="16"/>
                <w:szCs w:val="16"/>
                <w:lang w:val="en-GB"/>
              </w:rPr>
              <w:t>2018</w:t>
            </w:r>
          </w:p>
        </w:tc>
        <w:tc>
          <w:tcPr>
            <w:tcW w:w="764" w:type="dxa"/>
            <w:noWrap/>
            <w:vAlign w:val="center"/>
            <w:hideMark/>
          </w:tcPr>
          <w:p w14:paraId="3AF752FB" w14:textId="77777777" w:rsidR="00FD78C6" w:rsidRPr="007504E6"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lang w:val="en-GB"/>
              </w:rPr>
            </w:pPr>
            <w:r w:rsidRPr="007504E6">
              <w:rPr>
                <w:rFonts w:ascii="Times New Roman" w:hAnsi="Times New Roman" w:cs="Times New Roman"/>
                <w:i/>
                <w:iCs/>
                <w:sz w:val="16"/>
                <w:szCs w:val="16"/>
                <w:lang w:val="en-GB"/>
              </w:rPr>
              <w:t>2019</w:t>
            </w:r>
          </w:p>
        </w:tc>
        <w:tc>
          <w:tcPr>
            <w:tcW w:w="717" w:type="dxa"/>
            <w:noWrap/>
            <w:vAlign w:val="center"/>
            <w:hideMark/>
          </w:tcPr>
          <w:p w14:paraId="3D3741B3" w14:textId="77777777" w:rsidR="00FD78C6" w:rsidRPr="007504E6"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lang w:val="en-GB"/>
              </w:rPr>
            </w:pPr>
            <w:r w:rsidRPr="007504E6">
              <w:rPr>
                <w:rFonts w:ascii="Times New Roman" w:hAnsi="Times New Roman" w:cs="Times New Roman"/>
                <w:i/>
                <w:iCs/>
                <w:sz w:val="16"/>
                <w:szCs w:val="16"/>
                <w:lang w:val="en-GB"/>
              </w:rPr>
              <w:t>2020</w:t>
            </w:r>
          </w:p>
        </w:tc>
      </w:tr>
      <w:tr w:rsidR="00FD78C6" w:rsidRPr="007504E6" w14:paraId="02598683" w14:textId="77777777" w:rsidTr="00B31270">
        <w:trPr>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332BC19A" w14:textId="3ED7280A" w:rsidR="00FD78C6" w:rsidRPr="007504E6" w:rsidRDefault="0058391C" w:rsidP="00FD78C6">
            <w:pPr>
              <w:spacing w:line="276" w:lineRule="auto"/>
              <w:ind w:firstLine="0"/>
              <w:rPr>
                <w:rFonts w:ascii="Times New Roman" w:hAnsi="Times New Roman" w:cs="Times New Roman"/>
                <w:b/>
                <w:bCs/>
                <w:lang w:val="en-GB"/>
              </w:rPr>
            </w:pPr>
            <w:r w:rsidRPr="007504E6">
              <w:rPr>
                <w:rFonts w:ascii="Times New Roman" w:hAnsi="Times New Roman" w:cs="Times New Roman"/>
                <w:b/>
                <w:bCs/>
                <w:sz w:val="16"/>
                <w:szCs w:val="16"/>
                <w:lang w:val="en-GB"/>
              </w:rPr>
              <w:t xml:space="preserve">Actual </w:t>
            </w:r>
          </w:p>
        </w:tc>
        <w:tc>
          <w:tcPr>
            <w:tcW w:w="760" w:type="dxa"/>
            <w:noWrap/>
            <w:vAlign w:val="center"/>
            <w:hideMark/>
          </w:tcPr>
          <w:p w14:paraId="30AF028B" w14:textId="52AA83AD" w:rsidR="00FD78C6" w:rsidRPr="007504E6"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12</w:t>
            </w:r>
            <w:r w:rsidR="0058391C" w:rsidRPr="007504E6">
              <w:rPr>
                <w:rFonts w:ascii="Times New Roman" w:hAnsi="Times New Roman" w:cs="Times New Roman"/>
                <w:lang w:val="en-GB"/>
              </w:rPr>
              <w:t>.</w:t>
            </w:r>
            <w:r w:rsidRPr="007504E6">
              <w:rPr>
                <w:rFonts w:ascii="Times New Roman" w:hAnsi="Times New Roman" w:cs="Times New Roman"/>
                <w:lang w:val="en-GB"/>
              </w:rPr>
              <w:t>2</w:t>
            </w:r>
          </w:p>
        </w:tc>
        <w:tc>
          <w:tcPr>
            <w:tcW w:w="760" w:type="dxa"/>
            <w:noWrap/>
            <w:vAlign w:val="center"/>
            <w:hideMark/>
          </w:tcPr>
          <w:p w14:paraId="450160EB" w14:textId="411C3BE7" w:rsidR="00FD78C6" w:rsidRPr="007504E6"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14</w:t>
            </w:r>
            <w:r w:rsidR="0058391C" w:rsidRPr="007504E6">
              <w:rPr>
                <w:rFonts w:ascii="Times New Roman" w:hAnsi="Times New Roman" w:cs="Times New Roman"/>
                <w:lang w:val="en-GB"/>
              </w:rPr>
              <w:t>.</w:t>
            </w:r>
            <w:r w:rsidRPr="007504E6">
              <w:rPr>
                <w:rFonts w:ascii="Times New Roman" w:hAnsi="Times New Roman" w:cs="Times New Roman"/>
                <w:lang w:val="en-GB"/>
              </w:rPr>
              <w:t>8</w:t>
            </w:r>
          </w:p>
        </w:tc>
        <w:tc>
          <w:tcPr>
            <w:tcW w:w="717" w:type="dxa"/>
            <w:noWrap/>
            <w:vAlign w:val="center"/>
            <w:hideMark/>
          </w:tcPr>
          <w:p w14:paraId="60EFE9B7" w14:textId="03276E04" w:rsidR="00FD78C6" w:rsidRPr="007504E6"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7</w:t>
            </w:r>
            <w:r w:rsidR="0058391C" w:rsidRPr="007504E6">
              <w:rPr>
                <w:rFonts w:ascii="Times New Roman" w:hAnsi="Times New Roman" w:cs="Times New Roman"/>
                <w:lang w:val="en-GB"/>
              </w:rPr>
              <w:t>.</w:t>
            </w:r>
            <w:r w:rsidRPr="007504E6">
              <w:rPr>
                <w:rFonts w:ascii="Times New Roman" w:hAnsi="Times New Roman" w:cs="Times New Roman"/>
                <w:lang w:val="en-GB"/>
              </w:rPr>
              <w:t>3</w:t>
            </w:r>
          </w:p>
        </w:tc>
        <w:tc>
          <w:tcPr>
            <w:tcW w:w="760" w:type="dxa"/>
            <w:noWrap/>
            <w:vAlign w:val="center"/>
            <w:hideMark/>
          </w:tcPr>
          <w:p w14:paraId="6EE60338" w14:textId="0DE913A0" w:rsidR="00FD78C6" w:rsidRPr="007504E6"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10</w:t>
            </w:r>
            <w:r w:rsidR="0058391C" w:rsidRPr="007504E6">
              <w:rPr>
                <w:rFonts w:ascii="Times New Roman" w:hAnsi="Times New Roman" w:cs="Times New Roman"/>
                <w:lang w:val="en-GB"/>
              </w:rPr>
              <w:t>.</w:t>
            </w:r>
            <w:r w:rsidRPr="007504E6">
              <w:rPr>
                <w:rFonts w:ascii="Times New Roman" w:hAnsi="Times New Roman" w:cs="Times New Roman"/>
                <w:lang w:val="en-GB"/>
              </w:rPr>
              <w:t>6</w:t>
            </w:r>
          </w:p>
        </w:tc>
        <w:tc>
          <w:tcPr>
            <w:tcW w:w="717" w:type="dxa"/>
            <w:noWrap/>
            <w:vAlign w:val="center"/>
            <w:hideMark/>
          </w:tcPr>
          <w:p w14:paraId="09167136" w14:textId="15A18451" w:rsidR="00FD78C6" w:rsidRPr="007504E6"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0</w:t>
            </w:r>
            <w:r w:rsidR="0058391C" w:rsidRPr="007504E6">
              <w:rPr>
                <w:rFonts w:ascii="Times New Roman" w:hAnsi="Times New Roman" w:cs="Times New Roman"/>
                <w:lang w:val="en-GB"/>
              </w:rPr>
              <w:t>.</w:t>
            </w:r>
            <w:r w:rsidRPr="007504E6">
              <w:rPr>
                <w:rFonts w:ascii="Times New Roman" w:hAnsi="Times New Roman" w:cs="Times New Roman"/>
                <w:lang w:val="en-GB"/>
              </w:rPr>
              <w:t>6</w:t>
            </w:r>
          </w:p>
        </w:tc>
        <w:tc>
          <w:tcPr>
            <w:tcW w:w="875" w:type="dxa"/>
            <w:noWrap/>
            <w:vAlign w:val="center"/>
            <w:hideMark/>
          </w:tcPr>
          <w:p w14:paraId="3D01CD74" w14:textId="5C994AEC" w:rsidR="00FD78C6" w:rsidRPr="007504E6"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-16</w:t>
            </w:r>
            <w:r w:rsidR="0058391C" w:rsidRPr="007504E6">
              <w:rPr>
                <w:rFonts w:ascii="Times New Roman" w:hAnsi="Times New Roman" w:cs="Times New Roman"/>
                <w:lang w:val="en-GB"/>
              </w:rPr>
              <w:t>.</w:t>
            </w:r>
            <w:r w:rsidRPr="007504E6">
              <w:rPr>
                <w:rFonts w:ascii="Times New Roman" w:hAnsi="Times New Roman" w:cs="Times New Roman"/>
                <w:lang w:val="en-GB"/>
              </w:rPr>
              <w:t>6</w:t>
            </w:r>
          </w:p>
        </w:tc>
        <w:tc>
          <w:tcPr>
            <w:tcW w:w="1269" w:type="dxa"/>
            <w:noWrap/>
            <w:vAlign w:val="center"/>
            <w:hideMark/>
          </w:tcPr>
          <w:p w14:paraId="0933B4C2" w14:textId="3910369C" w:rsidR="00FD78C6" w:rsidRPr="007504E6"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18</w:t>
            </w:r>
            <w:r w:rsidR="0058391C" w:rsidRPr="007504E6">
              <w:rPr>
                <w:rFonts w:ascii="Times New Roman" w:hAnsi="Times New Roman" w:cs="Times New Roman"/>
                <w:lang w:val="en-GB"/>
              </w:rPr>
              <w:t>.</w:t>
            </w:r>
            <w:r w:rsidRPr="007504E6">
              <w:rPr>
                <w:rFonts w:ascii="Times New Roman" w:hAnsi="Times New Roman" w:cs="Times New Roman"/>
                <w:lang w:val="en-GB"/>
              </w:rPr>
              <w:t>6</w:t>
            </w:r>
          </w:p>
        </w:tc>
        <w:tc>
          <w:tcPr>
            <w:tcW w:w="878" w:type="dxa"/>
            <w:noWrap/>
            <w:vAlign w:val="center"/>
            <w:hideMark/>
          </w:tcPr>
          <w:p w14:paraId="1FAA333F" w14:textId="67F0E616" w:rsidR="00FD78C6" w:rsidRPr="007504E6"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21</w:t>
            </w:r>
            <w:r w:rsidR="0058391C" w:rsidRPr="007504E6">
              <w:rPr>
                <w:rFonts w:ascii="Times New Roman" w:hAnsi="Times New Roman" w:cs="Times New Roman"/>
                <w:lang w:val="en-GB"/>
              </w:rPr>
              <w:t>.</w:t>
            </w:r>
            <w:r w:rsidRPr="007504E6">
              <w:rPr>
                <w:rFonts w:ascii="Times New Roman" w:hAnsi="Times New Roman" w:cs="Times New Roman"/>
                <w:lang w:val="en-GB"/>
              </w:rPr>
              <w:t>9</w:t>
            </w:r>
          </w:p>
        </w:tc>
        <w:tc>
          <w:tcPr>
            <w:tcW w:w="764" w:type="dxa"/>
            <w:noWrap/>
            <w:vAlign w:val="center"/>
            <w:hideMark/>
          </w:tcPr>
          <w:p w14:paraId="5F7CB746" w14:textId="69745644" w:rsidR="00FD78C6" w:rsidRPr="007504E6"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2</w:t>
            </w:r>
            <w:r w:rsidR="0058391C" w:rsidRPr="007504E6">
              <w:rPr>
                <w:rFonts w:ascii="Times New Roman" w:hAnsi="Times New Roman" w:cs="Times New Roman"/>
                <w:lang w:val="en-GB"/>
              </w:rPr>
              <w:t>.</w:t>
            </w:r>
            <w:r w:rsidRPr="007504E6">
              <w:rPr>
                <w:rFonts w:ascii="Times New Roman" w:hAnsi="Times New Roman" w:cs="Times New Roman"/>
                <w:lang w:val="en-GB"/>
              </w:rPr>
              <w:t>9</w:t>
            </w:r>
          </w:p>
        </w:tc>
        <w:tc>
          <w:tcPr>
            <w:tcW w:w="717" w:type="dxa"/>
            <w:noWrap/>
            <w:vAlign w:val="center"/>
            <w:hideMark/>
          </w:tcPr>
          <w:p w14:paraId="4E8FEBE5" w14:textId="3D580E8A" w:rsidR="00FD78C6" w:rsidRPr="007504E6"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2</w:t>
            </w:r>
            <w:r w:rsidR="0058391C" w:rsidRPr="007504E6">
              <w:rPr>
                <w:rFonts w:ascii="Times New Roman" w:hAnsi="Times New Roman" w:cs="Times New Roman"/>
                <w:lang w:val="en-GB"/>
              </w:rPr>
              <w:t>.</w:t>
            </w:r>
            <w:r w:rsidRPr="007504E6">
              <w:rPr>
                <w:rFonts w:ascii="Times New Roman" w:hAnsi="Times New Roman" w:cs="Times New Roman"/>
                <w:lang w:val="en-GB"/>
              </w:rPr>
              <w:t>7</w:t>
            </w:r>
          </w:p>
        </w:tc>
      </w:tr>
      <w:tr w:rsidR="00BB4237" w:rsidRPr="007504E6" w14:paraId="23A7565F" w14:textId="77777777" w:rsidTr="00B312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9" w:type="dxa"/>
            <w:gridSpan w:val="7"/>
            <w:vMerge w:val="restart"/>
            <w:noWrap/>
            <w:vAlign w:val="center"/>
            <w:hideMark/>
          </w:tcPr>
          <w:p w14:paraId="23E27EF6" w14:textId="46D78F43" w:rsidR="00BB4237" w:rsidRPr="007504E6" w:rsidRDefault="00BB4237" w:rsidP="00B31270">
            <w:pPr>
              <w:spacing w:line="276" w:lineRule="auto"/>
              <w:ind w:firstLine="0"/>
              <w:jc w:val="center"/>
              <w:rPr>
                <w:rFonts w:ascii="Times New Roman" w:hAnsi="Times New Roman" w:cs="Times New Roman"/>
                <w:i w:val="0"/>
                <w:iCs w:val="0"/>
                <w:lang w:val="en-GB"/>
              </w:rPr>
            </w:pPr>
          </w:p>
        </w:tc>
        <w:tc>
          <w:tcPr>
            <w:tcW w:w="1269" w:type="dxa"/>
            <w:shd w:val="clear" w:color="auto" w:fill="D9E2F3" w:themeFill="accent1" w:themeFillTint="33"/>
            <w:noWrap/>
            <w:vAlign w:val="center"/>
            <w:hideMark/>
          </w:tcPr>
          <w:p w14:paraId="432D5F3C" w14:textId="46986446" w:rsidR="00BB4237" w:rsidRPr="007504E6" w:rsidRDefault="0058391C"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16"/>
                <w:szCs w:val="16"/>
                <w:lang w:val="en-GB"/>
              </w:rPr>
            </w:pPr>
            <w:r w:rsidRPr="007504E6">
              <w:rPr>
                <w:rFonts w:ascii="Times New Roman" w:hAnsi="Times New Roman" w:cs="Times New Roman"/>
                <w:b/>
                <w:bCs/>
                <w:i/>
                <w:iCs/>
                <w:sz w:val="16"/>
                <w:szCs w:val="16"/>
                <w:lang w:val="en-GB"/>
              </w:rPr>
              <w:t>Forecast</w:t>
            </w:r>
          </w:p>
        </w:tc>
        <w:tc>
          <w:tcPr>
            <w:tcW w:w="878" w:type="dxa"/>
            <w:shd w:val="clear" w:color="auto" w:fill="D9E2F3" w:themeFill="accent1" w:themeFillTint="33"/>
            <w:noWrap/>
            <w:vAlign w:val="center"/>
            <w:hideMark/>
          </w:tcPr>
          <w:p w14:paraId="3EAB5FA8" w14:textId="0FAC6214" w:rsidR="00BB4237" w:rsidRPr="007504E6" w:rsidRDefault="00BB4237"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7504E6">
              <w:rPr>
                <w:rFonts w:ascii="Times New Roman" w:hAnsi="Times New Roman" w:cs="Times New Roman"/>
                <w:sz w:val="20"/>
                <w:szCs w:val="20"/>
                <w:lang w:val="en-GB"/>
              </w:rPr>
              <w:t>16</w:t>
            </w:r>
            <w:r w:rsidR="0058391C" w:rsidRPr="007504E6">
              <w:rPr>
                <w:rFonts w:ascii="Times New Roman" w:hAnsi="Times New Roman" w:cs="Times New Roman"/>
                <w:sz w:val="20"/>
                <w:szCs w:val="20"/>
                <w:lang w:val="en-GB"/>
              </w:rPr>
              <w:t>.</w:t>
            </w:r>
            <w:r w:rsidRPr="007504E6">
              <w:rPr>
                <w:rFonts w:ascii="Times New Roman" w:hAnsi="Times New Roman" w:cs="Times New Roman"/>
                <w:sz w:val="20"/>
                <w:szCs w:val="20"/>
                <w:lang w:val="en-GB"/>
              </w:rPr>
              <w:t>6</w:t>
            </w:r>
          </w:p>
        </w:tc>
        <w:tc>
          <w:tcPr>
            <w:tcW w:w="764" w:type="dxa"/>
            <w:shd w:val="clear" w:color="auto" w:fill="D9E2F3" w:themeFill="accent1" w:themeFillTint="33"/>
            <w:noWrap/>
            <w:vAlign w:val="center"/>
            <w:hideMark/>
          </w:tcPr>
          <w:p w14:paraId="4F818839" w14:textId="77ADC7A7" w:rsidR="00BB4237" w:rsidRPr="007504E6" w:rsidRDefault="00BB4237"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7504E6">
              <w:rPr>
                <w:rFonts w:ascii="Times New Roman" w:hAnsi="Times New Roman" w:cs="Times New Roman"/>
                <w:sz w:val="20"/>
                <w:szCs w:val="20"/>
                <w:lang w:val="en-GB"/>
              </w:rPr>
              <w:t>12</w:t>
            </w:r>
            <w:r w:rsidR="0058391C" w:rsidRPr="007504E6">
              <w:rPr>
                <w:rFonts w:ascii="Times New Roman" w:hAnsi="Times New Roman" w:cs="Times New Roman"/>
                <w:sz w:val="20"/>
                <w:szCs w:val="20"/>
                <w:lang w:val="en-GB"/>
              </w:rPr>
              <w:t>.</w:t>
            </w:r>
            <w:r w:rsidRPr="007504E6">
              <w:rPr>
                <w:rFonts w:ascii="Times New Roman" w:hAnsi="Times New Roman" w:cs="Times New Roman"/>
                <w:sz w:val="20"/>
                <w:szCs w:val="20"/>
                <w:lang w:val="en-GB"/>
              </w:rPr>
              <w:t>5</w:t>
            </w:r>
          </w:p>
        </w:tc>
        <w:tc>
          <w:tcPr>
            <w:tcW w:w="717" w:type="dxa"/>
            <w:shd w:val="clear" w:color="auto" w:fill="D9E2F3" w:themeFill="accent1" w:themeFillTint="33"/>
            <w:noWrap/>
            <w:vAlign w:val="center"/>
            <w:hideMark/>
          </w:tcPr>
          <w:p w14:paraId="3753C488" w14:textId="5A6F5C0C" w:rsidR="00BB4237" w:rsidRPr="007504E6" w:rsidRDefault="00BB4237"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7504E6">
              <w:rPr>
                <w:rFonts w:ascii="Times New Roman" w:hAnsi="Times New Roman" w:cs="Times New Roman"/>
                <w:sz w:val="20"/>
                <w:szCs w:val="20"/>
                <w:lang w:val="en-GB"/>
              </w:rPr>
              <w:t>3</w:t>
            </w:r>
            <w:r w:rsidR="0058391C" w:rsidRPr="007504E6">
              <w:rPr>
                <w:rFonts w:ascii="Times New Roman" w:hAnsi="Times New Roman" w:cs="Times New Roman"/>
                <w:sz w:val="20"/>
                <w:szCs w:val="20"/>
                <w:lang w:val="en-GB"/>
              </w:rPr>
              <w:t>.</w:t>
            </w:r>
            <w:r w:rsidRPr="007504E6">
              <w:rPr>
                <w:rFonts w:ascii="Times New Roman" w:hAnsi="Times New Roman" w:cs="Times New Roman"/>
                <w:sz w:val="20"/>
                <w:szCs w:val="20"/>
                <w:lang w:val="en-GB"/>
              </w:rPr>
              <w:t>1</w:t>
            </w:r>
          </w:p>
        </w:tc>
      </w:tr>
      <w:tr w:rsidR="00BB4237" w:rsidRPr="007504E6" w14:paraId="04532598" w14:textId="77777777" w:rsidTr="00B31270">
        <w:trPr>
          <w:trHeight w:val="300"/>
        </w:trPr>
        <w:tc>
          <w:tcPr>
            <w:cnfStyle w:val="001000000000" w:firstRow="0" w:lastRow="0" w:firstColumn="1" w:lastColumn="0" w:oddVBand="0" w:evenVBand="0" w:oddHBand="0" w:evenHBand="0" w:firstRowFirstColumn="0" w:firstRowLastColumn="0" w:lastRowFirstColumn="0" w:lastRowLastColumn="0"/>
            <w:tcW w:w="5389" w:type="dxa"/>
            <w:gridSpan w:val="7"/>
            <w:vMerge/>
            <w:noWrap/>
            <w:vAlign w:val="center"/>
            <w:hideMark/>
          </w:tcPr>
          <w:p w14:paraId="50323BD8" w14:textId="628AD009" w:rsidR="00BB4237" w:rsidRPr="007504E6" w:rsidRDefault="00BB4237" w:rsidP="00B31270">
            <w:pPr>
              <w:spacing w:line="276" w:lineRule="auto"/>
              <w:ind w:firstLine="0"/>
              <w:jc w:val="center"/>
              <w:rPr>
                <w:rFonts w:ascii="Times New Roman" w:hAnsi="Times New Roman" w:cs="Times New Roman"/>
                <w:lang w:val="en-GB"/>
              </w:rPr>
            </w:pPr>
          </w:p>
        </w:tc>
        <w:tc>
          <w:tcPr>
            <w:tcW w:w="1269" w:type="dxa"/>
            <w:noWrap/>
            <w:vAlign w:val="center"/>
            <w:hideMark/>
          </w:tcPr>
          <w:p w14:paraId="322EB1F3" w14:textId="435F60E4" w:rsidR="00BB4237" w:rsidRPr="007504E6" w:rsidRDefault="0058391C"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6"/>
                <w:szCs w:val="16"/>
                <w:lang w:val="en-GB"/>
              </w:rPr>
            </w:pPr>
            <w:r w:rsidRPr="007504E6">
              <w:rPr>
                <w:rFonts w:ascii="Times New Roman" w:hAnsi="Times New Roman" w:cs="Times New Roman"/>
                <w:i/>
                <w:iCs/>
                <w:sz w:val="16"/>
                <w:szCs w:val="16"/>
                <w:lang w:val="en-GB"/>
              </w:rPr>
              <w:t>Deviation</w:t>
            </w:r>
          </w:p>
        </w:tc>
        <w:tc>
          <w:tcPr>
            <w:tcW w:w="878" w:type="dxa"/>
            <w:noWrap/>
            <w:vAlign w:val="center"/>
            <w:hideMark/>
          </w:tcPr>
          <w:p w14:paraId="446D8102" w14:textId="7CE6AC56" w:rsidR="00BB4237" w:rsidRPr="007504E6" w:rsidRDefault="000C1A64"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6"/>
                <w:szCs w:val="16"/>
                <w:lang w:val="en-GB"/>
              </w:rPr>
            </w:pPr>
            <w:r w:rsidRPr="007504E6">
              <w:rPr>
                <w:rFonts w:ascii="Times New Roman" w:hAnsi="Times New Roman" w:cs="Times New Roman"/>
                <w:i/>
                <w:iCs/>
                <w:sz w:val="16"/>
                <w:szCs w:val="16"/>
                <w:lang w:val="en-GB"/>
              </w:rPr>
              <w:t>-</w:t>
            </w:r>
            <w:r w:rsidR="00BB4237" w:rsidRPr="007504E6">
              <w:rPr>
                <w:rFonts w:ascii="Times New Roman" w:hAnsi="Times New Roman" w:cs="Times New Roman"/>
                <w:i/>
                <w:iCs/>
                <w:sz w:val="16"/>
                <w:szCs w:val="16"/>
                <w:lang w:val="en-GB"/>
              </w:rPr>
              <w:t>5</w:t>
            </w:r>
            <w:r w:rsidR="0058391C" w:rsidRPr="007504E6">
              <w:rPr>
                <w:rFonts w:ascii="Times New Roman" w:hAnsi="Times New Roman" w:cs="Times New Roman"/>
                <w:i/>
                <w:iCs/>
                <w:sz w:val="16"/>
                <w:szCs w:val="16"/>
                <w:lang w:val="en-GB"/>
              </w:rPr>
              <w:t>.</w:t>
            </w:r>
            <w:r w:rsidR="00BB4237" w:rsidRPr="007504E6">
              <w:rPr>
                <w:rFonts w:ascii="Times New Roman" w:hAnsi="Times New Roman" w:cs="Times New Roman"/>
                <w:i/>
                <w:iCs/>
                <w:sz w:val="16"/>
                <w:szCs w:val="16"/>
                <w:lang w:val="en-GB"/>
              </w:rPr>
              <w:t>3</w:t>
            </w:r>
            <w:r w:rsidR="007D049B" w:rsidRPr="007504E6">
              <w:rPr>
                <w:rFonts w:ascii="Times New Roman" w:hAnsi="Times New Roman" w:cs="Times New Roman"/>
                <w:i/>
                <w:iCs/>
                <w:sz w:val="16"/>
                <w:szCs w:val="16"/>
                <w:lang w:val="en-GB"/>
              </w:rPr>
              <w:t xml:space="preserve"> pp</w:t>
            </w:r>
          </w:p>
        </w:tc>
        <w:tc>
          <w:tcPr>
            <w:tcW w:w="764" w:type="dxa"/>
            <w:noWrap/>
            <w:vAlign w:val="center"/>
            <w:hideMark/>
          </w:tcPr>
          <w:p w14:paraId="37FAF960" w14:textId="7CD1EFD9" w:rsidR="00BB4237" w:rsidRPr="007504E6" w:rsidRDefault="00BB4237"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6"/>
                <w:szCs w:val="16"/>
                <w:lang w:val="en-GB"/>
              </w:rPr>
            </w:pPr>
            <w:r w:rsidRPr="007504E6">
              <w:rPr>
                <w:rFonts w:ascii="Times New Roman" w:hAnsi="Times New Roman" w:cs="Times New Roman"/>
                <w:i/>
                <w:iCs/>
                <w:sz w:val="16"/>
                <w:szCs w:val="16"/>
                <w:lang w:val="en-GB"/>
              </w:rPr>
              <w:t>9</w:t>
            </w:r>
            <w:r w:rsidR="0058391C" w:rsidRPr="007504E6">
              <w:rPr>
                <w:rFonts w:ascii="Times New Roman" w:hAnsi="Times New Roman" w:cs="Times New Roman"/>
                <w:i/>
                <w:iCs/>
                <w:sz w:val="16"/>
                <w:szCs w:val="16"/>
                <w:lang w:val="en-GB"/>
              </w:rPr>
              <w:t>.</w:t>
            </w:r>
            <w:r w:rsidRPr="007504E6">
              <w:rPr>
                <w:rFonts w:ascii="Times New Roman" w:hAnsi="Times New Roman" w:cs="Times New Roman"/>
                <w:i/>
                <w:iCs/>
                <w:sz w:val="16"/>
                <w:szCs w:val="16"/>
                <w:lang w:val="en-GB"/>
              </w:rPr>
              <w:t>6</w:t>
            </w:r>
            <w:r w:rsidR="007D049B" w:rsidRPr="007504E6">
              <w:rPr>
                <w:rFonts w:ascii="Times New Roman" w:hAnsi="Times New Roman" w:cs="Times New Roman"/>
                <w:i/>
                <w:iCs/>
                <w:sz w:val="16"/>
                <w:szCs w:val="16"/>
                <w:lang w:val="en-GB"/>
              </w:rPr>
              <w:t xml:space="preserve"> pp</w:t>
            </w:r>
          </w:p>
        </w:tc>
        <w:tc>
          <w:tcPr>
            <w:tcW w:w="717" w:type="dxa"/>
            <w:noWrap/>
            <w:vAlign w:val="center"/>
            <w:hideMark/>
          </w:tcPr>
          <w:p w14:paraId="323DB4F0" w14:textId="0B04C9F3" w:rsidR="00BB4237" w:rsidRPr="007504E6" w:rsidRDefault="00BB4237"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6"/>
                <w:szCs w:val="16"/>
                <w:lang w:val="en-GB"/>
              </w:rPr>
            </w:pPr>
            <w:r w:rsidRPr="007504E6">
              <w:rPr>
                <w:rFonts w:ascii="Times New Roman" w:hAnsi="Times New Roman" w:cs="Times New Roman"/>
                <w:i/>
                <w:iCs/>
                <w:sz w:val="16"/>
                <w:szCs w:val="16"/>
                <w:lang w:val="en-GB"/>
              </w:rPr>
              <w:t>0</w:t>
            </w:r>
            <w:r w:rsidR="0058391C" w:rsidRPr="007504E6">
              <w:rPr>
                <w:rFonts w:ascii="Times New Roman" w:hAnsi="Times New Roman" w:cs="Times New Roman"/>
                <w:i/>
                <w:iCs/>
                <w:sz w:val="16"/>
                <w:szCs w:val="16"/>
                <w:lang w:val="en-GB"/>
              </w:rPr>
              <w:t>.</w:t>
            </w:r>
            <w:r w:rsidRPr="007504E6">
              <w:rPr>
                <w:rFonts w:ascii="Times New Roman" w:hAnsi="Times New Roman" w:cs="Times New Roman"/>
                <w:i/>
                <w:iCs/>
                <w:sz w:val="16"/>
                <w:szCs w:val="16"/>
                <w:lang w:val="en-GB"/>
              </w:rPr>
              <w:t>4</w:t>
            </w:r>
            <w:r w:rsidR="007D049B" w:rsidRPr="007504E6">
              <w:rPr>
                <w:rFonts w:ascii="Times New Roman" w:hAnsi="Times New Roman" w:cs="Times New Roman"/>
                <w:i/>
                <w:iCs/>
                <w:sz w:val="16"/>
                <w:szCs w:val="16"/>
                <w:lang w:val="en-GB"/>
              </w:rPr>
              <w:t xml:space="preserve"> pp</w:t>
            </w:r>
          </w:p>
        </w:tc>
      </w:tr>
    </w:tbl>
    <w:p w14:paraId="23CE9B19" w14:textId="4040B18A" w:rsidR="00FD78C6" w:rsidRPr="007504E6" w:rsidRDefault="00FD78C6" w:rsidP="00266E91">
      <w:pPr>
        <w:spacing w:line="276" w:lineRule="auto"/>
        <w:ind w:firstLine="0"/>
        <w:rPr>
          <w:rFonts w:ascii="Times New Roman" w:hAnsi="Times New Roman" w:cs="Times New Roman"/>
          <w:lang w:val="en-GB"/>
        </w:rPr>
      </w:pPr>
    </w:p>
    <w:tbl>
      <w:tblPr>
        <w:tblStyle w:val="GridTable31"/>
        <w:tblW w:w="0" w:type="auto"/>
        <w:tblInd w:w="5" w:type="dxa"/>
        <w:tblLook w:val="04A0" w:firstRow="1" w:lastRow="0" w:firstColumn="1" w:lastColumn="0" w:noHBand="0" w:noVBand="1"/>
      </w:tblPr>
      <w:tblGrid>
        <w:gridCol w:w="975"/>
        <w:gridCol w:w="739"/>
        <w:gridCol w:w="738"/>
        <w:gridCol w:w="736"/>
        <w:gridCol w:w="736"/>
        <w:gridCol w:w="736"/>
        <w:gridCol w:w="736"/>
        <w:gridCol w:w="1418"/>
        <w:gridCol w:w="736"/>
        <w:gridCol w:w="736"/>
        <w:gridCol w:w="736"/>
      </w:tblGrid>
      <w:tr w:rsidR="00FD78C6" w:rsidRPr="007504E6" w14:paraId="5E4973DE" w14:textId="77777777" w:rsidTr="00764EC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22" w:type="dxa"/>
            <w:gridSpan w:val="11"/>
            <w:noWrap/>
            <w:hideMark/>
          </w:tcPr>
          <w:p w14:paraId="0D50521A" w14:textId="77777777" w:rsidR="0058391C" w:rsidRPr="007504E6" w:rsidRDefault="0058391C" w:rsidP="0058391C">
            <w:pPr>
              <w:spacing w:line="276" w:lineRule="auto"/>
              <w:ind w:firstLine="0"/>
              <w:jc w:val="center"/>
              <w:rPr>
                <w:rFonts w:ascii="Times New Roman" w:hAnsi="Times New Roman" w:cs="Times New Roman"/>
                <w:b w:val="0"/>
                <w:bCs w:val="0"/>
                <w:lang w:val="en-GB"/>
              </w:rPr>
            </w:pPr>
            <w:r w:rsidRPr="007504E6">
              <w:rPr>
                <w:rFonts w:ascii="Times New Roman" w:hAnsi="Times New Roman" w:cs="Times New Roman"/>
                <w:b w:val="0"/>
                <w:bCs w:val="0"/>
                <w:lang w:val="en-GB"/>
              </w:rPr>
              <w:t>% Change in construction COSTS compared to the previous year -</w:t>
            </w:r>
          </w:p>
          <w:p w14:paraId="6B0C9F55" w14:textId="5D6A5BA7" w:rsidR="00FD78C6" w:rsidRPr="007504E6" w:rsidRDefault="0058391C" w:rsidP="0058391C">
            <w:pPr>
              <w:spacing w:line="276" w:lineRule="auto"/>
              <w:ind w:firstLine="0"/>
              <w:jc w:val="center"/>
              <w:rPr>
                <w:rFonts w:ascii="Times New Roman" w:hAnsi="Times New Roman" w:cs="Times New Roman"/>
                <w:lang w:val="en-GB"/>
              </w:rPr>
            </w:pPr>
            <w:r w:rsidRPr="007504E6">
              <w:rPr>
                <w:rFonts w:ascii="Times New Roman" w:hAnsi="Times New Roman" w:cs="Times New Roman"/>
                <w:b w:val="0"/>
                <w:bCs w:val="0"/>
                <w:lang w:val="en-GB"/>
              </w:rPr>
              <w:t xml:space="preserve">  actual comparison with forecast</w:t>
            </w:r>
          </w:p>
        </w:tc>
      </w:tr>
      <w:tr w:rsidR="00FD78C6" w:rsidRPr="007504E6" w14:paraId="6F3BE010" w14:textId="77777777" w:rsidTr="00B312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5" w:type="dxa"/>
            <w:noWrap/>
            <w:hideMark/>
          </w:tcPr>
          <w:p w14:paraId="42EEEC62" w14:textId="63CC5929" w:rsidR="00FD78C6" w:rsidRPr="007504E6" w:rsidRDefault="0058391C" w:rsidP="00FD78C6">
            <w:pPr>
              <w:spacing w:line="276" w:lineRule="auto"/>
              <w:ind w:firstLine="0"/>
              <w:rPr>
                <w:rFonts w:ascii="Times New Roman" w:hAnsi="Times New Roman" w:cs="Times New Roman"/>
                <w:sz w:val="16"/>
                <w:szCs w:val="16"/>
                <w:lang w:val="en-GB"/>
              </w:rPr>
            </w:pPr>
            <w:r w:rsidRPr="007504E6">
              <w:rPr>
                <w:rFonts w:ascii="Times New Roman" w:hAnsi="Times New Roman" w:cs="Times New Roman"/>
                <w:sz w:val="16"/>
                <w:szCs w:val="16"/>
                <w:lang w:val="en-GB"/>
              </w:rPr>
              <w:t>Year</w:t>
            </w:r>
          </w:p>
        </w:tc>
        <w:tc>
          <w:tcPr>
            <w:tcW w:w="739" w:type="dxa"/>
            <w:noWrap/>
            <w:vAlign w:val="center"/>
            <w:hideMark/>
          </w:tcPr>
          <w:p w14:paraId="62EF322F" w14:textId="77777777" w:rsidR="00FD78C6" w:rsidRPr="007504E6"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lang w:val="en-GB"/>
              </w:rPr>
            </w:pPr>
            <w:r w:rsidRPr="007504E6">
              <w:rPr>
                <w:rFonts w:ascii="Times New Roman" w:hAnsi="Times New Roman" w:cs="Times New Roman"/>
                <w:i/>
                <w:iCs/>
                <w:sz w:val="16"/>
                <w:szCs w:val="16"/>
                <w:lang w:val="en-GB"/>
              </w:rPr>
              <w:t>2011</w:t>
            </w:r>
          </w:p>
        </w:tc>
        <w:tc>
          <w:tcPr>
            <w:tcW w:w="738" w:type="dxa"/>
            <w:noWrap/>
            <w:vAlign w:val="center"/>
            <w:hideMark/>
          </w:tcPr>
          <w:p w14:paraId="0D6512F6" w14:textId="77777777" w:rsidR="00FD78C6" w:rsidRPr="007504E6"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lang w:val="en-GB"/>
              </w:rPr>
            </w:pPr>
            <w:r w:rsidRPr="007504E6">
              <w:rPr>
                <w:rFonts w:ascii="Times New Roman" w:hAnsi="Times New Roman" w:cs="Times New Roman"/>
                <w:i/>
                <w:iCs/>
                <w:sz w:val="16"/>
                <w:szCs w:val="16"/>
                <w:lang w:val="en-GB"/>
              </w:rPr>
              <w:t>2012</w:t>
            </w:r>
          </w:p>
        </w:tc>
        <w:tc>
          <w:tcPr>
            <w:tcW w:w="736" w:type="dxa"/>
            <w:noWrap/>
            <w:vAlign w:val="center"/>
            <w:hideMark/>
          </w:tcPr>
          <w:p w14:paraId="799531B1" w14:textId="77777777" w:rsidR="00FD78C6" w:rsidRPr="007504E6"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lang w:val="en-GB"/>
              </w:rPr>
            </w:pPr>
            <w:r w:rsidRPr="007504E6">
              <w:rPr>
                <w:rFonts w:ascii="Times New Roman" w:hAnsi="Times New Roman" w:cs="Times New Roman"/>
                <w:i/>
                <w:iCs/>
                <w:sz w:val="16"/>
                <w:szCs w:val="16"/>
                <w:lang w:val="en-GB"/>
              </w:rPr>
              <w:t>2013</w:t>
            </w:r>
          </w:p>
        </w:tc>
        <w:tc>
          <w:tcPr>
            <w:tcW w:w="736" w:type="dxa"/>
            <w:noWrap/>
            <w:vAlign w:val="center"/>
            <w:hideMark/>
          </w:tcPr>
          <w:p w14:paraId="6BA05AB2" w14:textId="77777777" w:rsidR="00FD78C6" w:rsidRPr="007504E6"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lang w:val="en-GB"/>
              </w:rPr>
            </w:pPr>
            <w:r w:rsidRPr="007504E6">
              <w:rPr>
                <w:rFonts w:ascii="Times New Roman" w:hAnsi="Times New Roman" w:cs="Times New Roman"/>
                <w:i/>
                <w:iCs/>
                <w:sz w:val="16"/>
                <w:szCs w:val="16"/>
                <w:lang w:val="en-GB"/>
              </w:rPr>
              <w:t>2014</w:t>
            </w:r>
          </w:p>
        </w:tc>
        <w:tc>
          <w:tcPr>
            <w:tcW w:w="736" w:type="dxa"/>
            <w:noWrap/>
            <w:vAlign w:val="center"/>
            <w:hideMark/>
          </w:tcPr>
          <w:p w14:paraId="01C44133" w14:textId="77777777" w:rsidR="00FD78C6" w:rsidRPr="007504E6"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lang w:val="en-GB"/>
              </w:rPr>
            </w:pPr>
            <w:r w:rsidRPr="007504E6">
              <w:rPr>
                <w:rFonts w:ascii="Times New Roman" w:hAnsi="Times New Roman" w:cs="Times New Roman"/>
                <w:i/>
                <w:iCs/>
                <w:sz w:val="16"/>
                <w:szCs w:val="16"/>
                <w:lang w:val="en-GB"/>
              </w:rPr>
              <w:t>2015</w:t>
            </w:r>
          </w:p>
        </w:tc>
        <w:tc>
          <w:tcPr>
            <w:tcW w:w="736" w:type="dxa"/>
            <w:noWrap/>
            <w:vAlign w:val="center"/>
            <w:hideMark/>
          </w:tcPr>
          <w:p w14:paraId="6105EF9B" w14:textId="77777777" w:rsidR="00FD78C6" w:rsidRPr="007504E6"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lang w:val="en-GB"/>
              </w:rPr>
            </w:pPr>
            <w:r w:rsidRPr="007504E6">
              <w:rPr>
                <w:rFonts w:ascii="Times New Roman" w:hAnsi="Times New Roman" w:cs="Times New Roman"/>
                <w:i/>
                <w:iCs/>
                <w:sz w:val="16"/>
                <w:szCs w:val="16"/>
                <w:lang w:val="en-GB"/>
              </w:rPr>
              <w:t>2016</w:t>
            </w:r>
          </w:p>
        </w:tc>
        <w:tc>
          <w:tcPr>
            <w:tcW w:w="1418" w:type="dxa"/>
            <w:noWrap/>
            <w:vAlign w:val="center"/>
            <w:hideMark/>
          </w:tcPr>
          <w:p w14:paraId="3BC60259" w14:textId="77777777" w:rsidR="00FD78C6" w:rsidRPr="007504E6"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lang w:val="en-GB"/>
              </w:rPr>
            </w:pPr>
            <w:r w:rsidRPr="007504E6">
              <w:rPr>
                <w:rFonts w:ascii="Times New Roman" w:hAnsi="Times New Roman" w:cs="Times New Roman"/>
                <w:i/>
                <w:iCs/>
                <w:sz w:val="16"/>
                <w:szCs w:val="16"/>
                <w:lang w:val="en-GB"/>
              </w:rPr>
              <w:t>2017</w:t>
            </w:r>
          </w:p>
        </w:tc>
        <w:tc>
          <w:tcPr>
            <w:tcW w:w="736" w:type="dxa"/>
            <w:noWrap/>
            <w:vAlign w:val="center"/>
            <w:hideMark/>
          </w:tcPr>
          <w:p w14:paraId="3654F689" w14:textId="77777777" w:rsidR="00FD78C6" w:rsidRPr="007504E6"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lang w:val="en-GB"/>
              </w:rPr>
            </w:pPr>
            <w:r w:rsidRPr="007504E6">
              <w:rPr>
                <w:rFonts w:ascii="Times New Roman" w:hAnsi="Times New Roman" w:cs="Times New Roman"/>
                <w:i/>
                <w:iCs/>
                <w:sz w:val="16"/>
                <w:szCs w:val="16"/>
                <w:lang w:val="en-GB"/>
              </w:rPr>
              <w:t>2018</w:t>
            </w:r>
          </w:p>
        </w:tc>
        <w:tc>
          <w:tcPr>
            <w:tcW w:w="736" w:type="dxa"/>
            <w:noWrap/>
            <w:vAlign w:val="center"/>
            <w:hideMark/>
          </w:tcPr>
          <w:p w14:paraId="7482B651" w14:textId="77777777" w:rsidR="00FD78C6" w:rsidRPr="007504E6"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lang w:val="en-GB"/>
              </w:rPr>
            </w:pPr>
            <w:r w:rsidRPr="007504E6">
              <w:rPr>
                <w:rFonts w:ascii="Times New Roman" w:hAnsi="Times New Roman" w:cs="Times New Roman"/>
                <w:i/>
                <w:iCs/>
                <w:sz w:val="16"/>
                <w:szCs w:val="16"/>
                <w:lang w:val="en-GB"/>
              </w:rPr>
              <w:t>2019</w:t>
            </w:r>
          </w:p>
        </w:tc>
        <w:tc>
          <w:tcPr>
            <w:tcW w:w="736" w:type="dxa"/>
            <w:noWrap/>
            <w:vAlign w:val="center"/>
            <w:hideMark/>
          </w:tcPr>
          <w:p w14:paraId="55992561" w14:textId="77777777" w:rsidR="00FD78C6" w:rsidRPr="007504E6"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lang w:val="en-GB"/>
              </w:rPr>
            </w:pPr>
            <w:r w:rsidRPr="007504E6">
              <w:rPr>
                <w:rFonts w:ascii="Times New Roman" w:hAnsi="Times New Roman" w:cs="Times New Roman"/>
                <w:i/>
                <w:iCs/>
                <w:sz w:val="16"/>
                <w:szCs w:val="16"/>
                <w:lang w:val="en-GB"/>
              </w:rPr>
              <w:t>2020</w:t>
            </w:r>
          </w:p>
        </w:tc>
      </w:tr>
      <w:tr w:rsidR="00FD78C6" w:rsidRPr="007504E6" w14:paraId="3A9E7A83" w14:textId="77777777" w:rsidTr="00B31270">
        <w:trPr>
          <w:trHeight w:val="300"/>
        </w:trPr>
        <w:tc>
          <w:tcPr>
            <w:cnfStyle w:val="001000000000" w:firstRow="0" w:lastRow="0" w:firstColumn="1" w:lastColumn="0" w:oddVBand="0" w:evenVBand="0" w:oddHBand="0" w:evenHBand="0" w:firstRowFirstColumn="0" w:firstRowLastColumn="0" w:lastRowFirstColumn="0" w:lastRowLastColumn="0"/>
            <w:tcW w:w="975" w:type="dxa"/>
            <w:noWrap/>
            <w:hideMark/>
          </w:tcPr>
          <w:p w14:paraId="670FC03E" w14:textId="4F130485" w:rsidR="00FD78C6" w:rsidRPr="007504E6" w:rsidRDefault="0058391C" w:rsidP="00FD78C6">
            <w:pPr>
              <w:spacing w:line="276" w:lineRule="auto"/>
              <w:ind w:firstLine="0"/>
              <w:rPr>
                <w:rFonts w:ascii="Times New Roman" w:hAnsi="Times New Roman" w:cs="Times New Roman"/>
                <w:b/>
                <w:bCs/>
                <w:sz w:val="16"/>
                <w:szCs w:val="16"/>
                <w:lang w:val="en-GB"/>
              </w:rPr>
            </w:pPr>
            <w:r w:rsidRPr="007504E6">
              <w:rPr>
                <w:rFonts w:ascii="Times New Roman" w:hAnsi="Times New Roman" w:cs="Times New Roman"/>
                <w:b/>
                <w:bCs/>
                <w:sz w:val="16"/>
                <w:szCs w:val="16"/>
                <w:lang w:val="en-GB"/>
              </w:rPr>
              <w:t xml:space="preserve">Actual </w:t>
            </w:r>
          </w:p>
        </w:tc>
        <w:tc>
          <w:tcPr>
            <w:tcW w:w="739" w:type="dxa"/>
            <w:noWrap/>
            <w:vAlign w:val="center"/>
            <w:hideMark/>
          </w:tcPr>
          <w:p w14:paraId="624F033B" w14:textId="6CB834CF" w:rsidR="00FD78C6" w:rsidRPr="007504E6"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2</w:t>
            </w:r>
            <w:r w:rsidR="0058391C" w:rsidRPr="007504E6">
              <w:rPr>
                <w:rFonts w:ascii="Times New Roman" w:hAnsi="Times New Roman" w:cs="Times New Roman"/>
                <w:lang w:val="en-GB"/>
              </w:rPr>
              <w:t>.</w:t>
            </w:r>
            <w:r w:rsidRPr="007504E6">
              <w:rPr>
                <w:rFonts w:ascii="Times New Roman" w:hAnsi="Times New Roman" w:cs="Times New Roman"/>
                <w:lang w:val="en-GB"/>
              </w:rPr>
              <w:t>1</w:t>
            </w:r>
          </w:p>
        </w:tc>
        <w:tc>
          <w:tcPr>
            <w:tcW w:w="738" w:type="dxa"/>
            <w:noWrap/>
            <w:vAlign w:val="center"/>
            <w:hideMark/>
          </w:tcPr>
          <w:p w14:paraId="0C3BE02E" w14:textId="2716E609" w:rsidR="00FD78C6" w:rsidRPr="007504E6"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6</w:t>
            </w:r>
            <w:r w:rsidR="0058391C" w:rsidRPr="007504E6">
              <w:rPr>
                <w:rFonts w:ascii="Times New Roman" w:hAnsi="Times New Roman" w:cs="Times New Roman"/>
                <w:lang w:val="en-GB"/>
              </w:rPr>
              <w:t>.</w:t>
            </w:r>
            <w:r w:rsidRPr="007504E6">
              <w:rPr>
                <w:rFonts w:ascii="Times New Roman" w:hAnsi="Times New Roman" w:cs="Times New Roman"/>
                <w:lang w:val="en-GB"/>
              </w:rPr>
              <w:t>8</w:t>
            </w:r>
          </w:p>
        </w:tc>
        <w:tc>
          <w:tcPr>
            <w:tcW w:w="736" w:type="dxa"/>
            <w:noWrap/>
            <w:vAlign w:val="center"/>
            <w:hideMark/>
          </w:tcPr>
          <w:p w14:paraId="7013EDD8" w14:textId="3AD6C066" w:rsidR="00FD78C6" w:rsidRPr="007504E6"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2</w:t>
            </w:r>
            <w:r w:rsidR="0058391C" w:rsidRPr="007504E6">
              <w:rPr>
                <w:rFonts w:ascii="Times New Roman" w:hAnsi="Times New Roman" w:cs="Times New Roman"/>
                <w:lang w:val="en-GB"/>
              </w:rPr>
              <w:t>.</w:t>
            </w:r>
            <w:r w:rsidRPr="007504E6">
              <w:rPr>
                <w:rFonts w:ascii="Times New Roman" w:hAnsi="Times New Roman" w:cs="Times New Roman"/>
                <w:lang w:val="en-GB"/>
              </w:rPr>
              <w:t>5</w:t>
            </w:r>
          </w:p>
        </w:tc>
        <w:tc>
          <w:tcPr>
            <w:tcW w:w="736" w:type="dxa"/>
            <w:noWrap/>
            <w:vAlign w:val="center"/>
            <w:hideMark/>
          </w:tcPr>
          <w:p w14:paraId="47986CF5" w14:textId="20F56FAD" w:rsidR="00FD78C6" w:rsidRPr="007504E6"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0</w:t>
            </w:r>
            <w:r w:rsidR="0058391C" w:rsidRPr="007504E6">
              <w:rPr>
                <w:rFonts w:ascii="Times New Roman" w:hAnsi="Times New Roman" w:cs="Times New Roman"/>
                <w:lang w:val="en-GB"/>
              </w:rPr>
              <w:t>.</w:t>
            </w:r>
            <w:r w:rsidRPr="007504E6">
              <w:rPr>
                <w:rFonts w:ascii="Times New Roman" w:hAnsi="Times New Roman" w:cs="Times New Roman"/>
                <w:lang w:val="en-GB"/>
              </w:rPr>
              <w:t>4</w:t>
            </w:r>
          </w:p>
        </w:tc>
        <w:tc>
          <w:tcPr>
            <w:tcW w:w="736" w:type="dxa"/>
            <w:noWrap/>
            <w:vAlign w:val="center"/>
            <w:hideMark/>
          </w:tcPr>
          <w:p w14:paraId="3D98C5A6" w14:textId="77777777" w:rsidR="00FD78C6" w:rsidRPr="007504E6"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0,1</w:t>
            </w:r>
          </w:p>
        </w:tc>
        <w:tc>
          <w:tcPr>
            <w:tcW w:w="736" w:type="dxa"/>
            <w:noWrap/>
            <w:vAlign w:val="center"/>
            <w:hideMark/>
          </w:tcPr>
          <w:p w14:paraId="28E3588F" w14:textId="77777777" w:rsidR="00FD78C6" w:rsidRPr="007504E6"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-0,5</w:t>
            </w:r>
          </w:p>
        </w:tc>
        <w:tc>
          <w:tcPr>
            <w:tcW w:w="1418" w:type="dxa"/>
            <w:noWrap/>
            <w:vAlign w:val="center"/>
            <w:hideMark/>
          </w:tcPr>
          <w:p w14:paraId="34C924F7" w14:textId="77777777" w:rsidR="00FD78C6" w:rsidRPr="007504E6"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1,9</w:t>
            </w:r>
          </w:p>
        </w:tc>
        <w:tc>
          <w:tcPr>
            <w:tcW w:w="736" w:type="dxa"/>
            <w:noWrap/>
            <w:vAlign w:val="center"/>
            <w:hideMark/>
          </w:tcPr>
          <w:p w14:paraId="239BE85B" w14:textId="77777777" w:rsidR="00FD78C6" w:rsidRPr="007504E6"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4,4</w:t>
            </w:r>
          </w:p>
        </w:tc>
        <w:tc>
          <w:tcPr>
            <w:tcW w:w="736" w:type="dxa"/>
            <w:noWrap/>
            <w:vAlign w:val="center"/>
            <w:hideMark/>
          </w:tcPr>
          <w:p w14:paraId="2F2DAF9F" w14:textId="77777777" w:rsidR="00FD78C6" w:rsidRPr="007504E6"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4,1</w:t>
            </w:r>
          </w:p>
        </w:tc>
        <w:tc>
          <w:tcPr>
            <w:tcW w:w="736" w:type="dxa"/>
            <w:noWrap/>
            <w:vAlign w:val="center"/>
            <w:hideMark/>
          </w:tcPr>
          <w:p w14:paraId="06B721F5" w14:textId="77777777" w:rsidR="00FD78C6" w:rsidRPr="007504E6"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1,3</w:t>
            </w:r>
          </w:p>
        </w:tc>
      </w:tr>
      <w:tr w:rsidR="00764EC4" w:rsidRPr="007504E6" w14:paraId="3DF665C1" w14:textId="77777777" w:rsidTr="00B312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6" w:type="dxa"/>
            <w:gridSpan w:val="7"/>
            <w:vMerge w:val="restart"/>
            <w:noWrap/>
            <w:vAlign w:val="center"/>
            <w:hideMark/>
          </w:tcPr>
          <w:p w14:paraId="7B8EE933" w14:textId="6948D741" w:rsidR="00764EC4" w:rsidRPr="007504E6" w:rsidRDefault="00764EC4" w:rsidP="00B31270">
            <w:pPr>
              <w:spacing w:line="276" w:lineRule="auto"/>
              <w:ind w:firstLine="0"/>
              <w:jc w:val="center"/>
              <w:rPr>
                <w:rFonts w:ascii="Times New Roman" w:hAnsi="Times New Roman" w:cs="Times New Roman"/>
                <w:lang w:val="en-GB"/>
              </w:rPr>
            </w:pPr>
          </w:p>
        </w:tc>
        <w:tc>
          <w:tcPr>
            <w:tcW w:w="1418" w:type="dxa"/>
            <w:shd w:val="clear" w:color="auto" w:fill="E2EFD9" w:themeFill="accent6" w:themeFillTint="33"/>
            <w:noWrap/>
            <w:vAlign w:val="center"/>
            <w:hideMark/>
          </w:tcPr>
          <w:p w14:paraId="34954E3B" w14:textId="46F2F294" w:rsidR="00764EC4" w:rsidRPr="007504E6" w:rsidRDefault="0058391C"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16"/>
                <w:szCs w:val="16"/>
                <w:lang w:val="en-GB"/>
              </w:rPr>
            </w:pPr>
            <w:r w:rsidRPr="007504E6">
              <w:rPr>
                <w:rFonts w:ascii="Times New Roman" w:hAnsi="Times New Roman" w:cs="Times New Roman"/>
                <w:b/>
                <w:bCs/>
                <w:i/>
                <w:iCs/>
                <w:sz w:val="16"/>
                <w:szCs w:val="16"/>
                <w:lang w:val="en-GB"/>
              </w:rPr>
              <w:t>Forecast</w:t>
            </w:r>
          </w:p>
        </w:tc>
        <w:tc>
          <w:tcPr>
            <w:tcW w:w="736" w:type="dxa"/>
            <w:shd w:val="clear" w:color="auto" w:fill="E2EFD9" w:themeFill="accent6" w:themeFillTint="33"/>
            <w:noWrap/>
            <w:vAlign w:val="center"/>
            <w:hideMark/>
          </w:tcPr>
          <w:p w14:paraId="5EE6EBD9" w14:textId="18B686C2" w:rsidR="00764EC4" w:rsidRPr="007504E6" w:rsidRDefault="00764EC4"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7504E6">
              <w:rPr>
                <w:rFonts w:ascii="Times New Roman" w:hAnsi="Times New Roman" w:cs="Times New Roman"/>
                <w:sz w:val="20"/>
                <w:szCs w:val="20"/>
                <w:lang w:val="en-GB"/>
              </w:rPr>
              <w:t>4</w:t>
            </w:r>
            <w:r w:rsidR="0058391C" w:rsidRPr="007504E6">
              <w:rPr>
                <w:rFonts w:ascii="Times New Roman" w:hAnsi="Times New Roman" w:cs="Times New Roman"/>
                <w:sz w:val="20"/>
                <w:szCs w:val="20"/>
                <w:lang w:val="en-GB"/>
              </w:rPr>
              <w:t>.</w:t>
            </w:r>
            <w:r w:rsidRPr="007504E6">
              <w:rPr>
                <w:rFonts w:ascii="Times New Roman" w:hAnsi="Times New Roman" w:cs="Times New Roman"/>
                <w:sz w:val="20"/>
                <w:szCs w:val="20"/>
                <w:lang w:val="en-GB"/>
              </w:rPr>
              <w:t>1</w:t>
            </w:r>
          </w:p>
        </w:tc>
        <w:tc>
          <w:tcPr>
            <w:tcW w:w="736" w:type="dxa"/>
            <w:shd w:val="clear" w:color="auto" w:fill="E2EFD9" w:themeFill="accent6" w:themeFillTint="33"/>
            <w:noWrap/>
            <w:vAlign w:val="center"/>
            <w:hideMark/>
          </w:tcPr>
          <w:p w14:paraId="5BF2C96F" w14:textId="5065EE78" w:rsidR="00764EC4" w:rsidRPr="007504E6" w:rsidRDefault="00764EC4"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7504E6">
              <w:rPr>
                <w:rFonts w:ascii="Times New Roman" w:hAnsi="Times New Roman" w:cs="Times New Roman"/>
                <w:sz w:val="20"/>
                <w:szCs w:val="20"/>
                <w:lang w:val="en-GB"/>
              </w:rPr>
              <w:t>4</w:t>
            </w:r>
            <w:r w:rsidR="0058391C" w:rsidRPr="007504E6">
              <w:rPr>
                <w:rFonts w:ascii="Times New Roman" w:hAnsi="Times New Roman" w:cs="Times New Roman"/>
                <w:sz w:val="20"/>
                <w:szCs w:val="20"/>
                <w:lang w:val="en-GB"/>
              </w:rPr>
              <w:t>.</w:t>
            </w:r>
            <w:r w:rsidRPr="007504E6">
              <w:rPr>
                <w:rFonts w:ascii="Times New Roman" w:hAnsi="Times New Roman" w:cs="Times New Roman"/>
                <w:sz w:val="20"/>
                <w:szCs w:val="20"/>
                <w:lang w:val="en-GB"/>
              </w:rPr>
              <w:t>9</w:t>
            </w:r>
          </w:p>
        </w:tc>
        <w:tc>
          <w:tcPr>
            <w:tcW w:w="736" w:type="dxa"/>
            <w:shd w:val="clear" w:color="auto" w:fill="E2EFD9" w:themeFill="accent6" w:themeFillTint="33"/>
            <w:noWrap/>
            <w:vAlign w:val="center"/>
            <w:hideMark/>
          </w:tcPr>
          <w:p w14:paraId="0C268CDB" w14:textId="7B4257C7" w:rsidR="00764EC4" w:rsidRPr="007504E6" w:rsidRDefault="00764EC4"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7504E6">
              <w:rPr>
                <w:rFonts w:ascii="Times New Roman" w:hAnsi="Times New Roman" w:cs="Times New Roman"/>
                <w:sz w:val="20"/>
                <w:szCs w:val="20"/>
                <w:lang w:val="en-GB"/>
              </w:rPr>
              <w:t>2</w:t>
            </w:r>
            <w:r w:rsidR="0058391C" w:rsidRPr="007504E6">
              <w:rPr>
                <w:rFonts w:ascii="Times New Roman" w:hAnsi="Times New Roman" w:cs="Times New Roman"/>
                <w:sz w:val="20"/>
                <w:szCs w:val="20"/>
                <w:lang w:val="en-GB"/>
              </w:rPr>
              <w:t>.</w:t>
            </w:r>
            <w:r w:rsidRPr="007504E6">
              <w:rPr>
                <w:rFonts w:ascii="Times New Roman" w:hAnsi="Times New Roman" w:cs="Times New Roman"/>
                <w:sz w:val="20"/>
                <w:szCs w:val="20"/>
                <w:lang w:val="en-GB"/>
              </w:rPr>
              <w:t>7</w:t>
            </w:r>
          </w:p>
        </w:tc>
      </w:tr>
      <w:tr w:rsidR="00764EC4" w:rsidRPr="007504E6" w14:paraId="3E60B336" w14:textId="77777777" w:rsidTr="00B31270">
        <w:trPr>
          <w:trHeight w:val="309"/>
        </w:trPr>
        <w:tc>
          <w:tcPr>
            <w:cnfStyle w:val="001000000000" w:firstRow="0" w:lastRow="0" w:firstColumn="1" w:lastColumn="0" w:oddVBand="0" w:evenVBand="0" w:oddHBand="0" w:evenHBand="0" w:firstRowFirstColumn="0" w:firstRowLastColumn="0" w:lastRowFirstColumn="0" w:lastRowLastColumn="0"/>
            <w:tcW w:w="5396" w:type="dxa"/>
            <w:gridSpan w:val="7"/>
            <w:vMerge/>
            <w:noWrap/>
            <w:vAlign w:val="center"/>
            <w:hideMark/>
          </w:tcPr>
          <w:p w14:paraId="6576582B" w14:textId="004FAEB8" w:rsidR="00764EC4" w:rsidRPr="007504E6" w:rsidRDefault="00764EC4" w:rsidP="00B31270">
            <w:pPr>
              <w:spacing w:line="276" w:lineRule="auto"/>
              <w:ind w:firstLine="0"/>
              <w:jc w:val="center"/>
              <w:rPr>
                <w:rFonts w:ascii="Times New Roman" w:hAnsi="Times New Roman" w:cs="Times New Roman"/>
                <w:lang w:val="en-GB"/>
              </w:rPr>
            </w:pPr>
          </w:p>
        </w:tc>
        <w:tc>
          <w:tcPr>
            <w:tcW w:w="1418" w:type="dxa"/>
            <w:noWrap/>
            <w:vAlign w:val="center"/>
            <w:hideMark/>
          </w:tcPr>
          <w:p w14:paraId="08215A3E" w14:textId="2BAD2D4B" w:rsidR="00764EC4" w:rsidRPr="007504E6" w:rsidRDefault="0058391C"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6"/>
                <w:szCs w:val="16"/>
                <w:lang w:val="en-GB"/>
              </w:rPr>
            </w:pPr>
            <w:r w:rsidRPr="007504E6">
              <w:rPr>
                <w:rFonts w:ascii="Times New Roman" w:hAnsi="Times New Roman" w:cs="Times New Roman"/>
                <w:i/>
                <w:iCs/>
                <w:sz w:val="16"/>
                <w:szCs w:val="16"/>
                <w:lang w:val="en-GB"/>
              </w:rPr>
              <w:t>Deviation</w:t>
            </w:r>
          </w:p>
        </w:tc>
        <w:tc>
          <w:tcPr>
            <w:tcW w:w="736" w:type="dxa"/>
            <w:noWrap/>
            <w:vAlign w:val="center"/>
            <w:hideMark/>
          </w:tcPr>
          <w:p w14:paraId="028FB03A" w14:textId="7EF7B535" w:rsidR="00764EC4" w:rsidRPr="007504E6" w:rsidRDefault="000C1A64"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6"/>
                <w:szCs w:val="16"/>
                <w:lang w:val="en-GB"/>
              </w:rPr>
            </w:pPr>
            <w:r w:rsidRPr="007504E6">
              <w:rPr>
                <w:rFonts w:ascii="Times New Roman" w:hAnsi="Times New Roman" w:cs="Times New Roman"/>
                <w:i/>
                <w:iCs/>
                <w:sz w:val="16"/>
                <w:szCs w:val="16"/>
                <w:lang w:val="en-GB"/>
              </w:rPr>
              <w:t>-</w:t>
            </w:r>
            <w:r w:rsidR="00764EC4" w:rsidRPr="007504E6">
              <w:rPr>
                <w:rFonts w:ascii="Times New Roman" w:hAnsi="Times New Roman" w:cs="Times New Roman"/>
                <w:i/>
                <w:iCs/>
                <w:sz w:val="16"/>
                <w:szCs w:val="16"/>
                <w:lang w:val="en-GB"/>
              </w:rPr>
              <w:t>0</w:t>
            </w:r>
            <w:r w:rsidR="0058391C" w:rsidRPr="007504E6">
              <w:rPr>
                <w:rFonts w:ascii="Times New Roman" w:hAnsi="Times New Roman" w:cs="Times New Roman"/>
                <w:i/>
                <w:iCs/>
                <w:sz w:val="16"/>
                <w:szCs w:val="16"/>
                <w:lang w:val="en-GB"/>
              </w:rPr>
              <w:t>.</w:t>
            </w:r>
            <w:r w:rsidR="00764EC4" w:rsidRPr="007504E6">
              <w:rPr>
                <w:rFonts w:ascii="Times New Roman" w:hAnsi="Times New Roman" w:cs="Times New Roman"/>
                <w:i/>
                <w:iCs/>
                <w:sz w:val="16"/>
                <w:szCs w:val="16"/>
                <w:lang w:val="en-GB"/>
              </w:rPr>
              <w:t>3</w:t>
            </w:r>
            <w:r w:rsidR="007D049B" w:rsidRPr="007504E6">
              <w:rPr>
                <w:rFonts w:ascii="Times New Roman" w:hAnsi="Times New Roman" w:cs="Times New Roman"/>
                <w:i/>
                <w:iCs/>
                <w:sz w:val="16"/>
                <w:szCs w:val="16"/>
                <w:lang w:val="en-GB"/>
              </w:rPr>
              <w:t xml:space="preserve"> pp</w:t>
            </w:r>
          </w:p>
        </w:tc>
        <w:tc>
          <w:tcPr>
            <w:tcW w:w="736" w:type="dxa"/>
            <w:noWrap/>
            <w:vAlign w:val="center"/>
            <w:hideMark/>
          </w:tcPr>
          <w:p w14:paraId="5D686148" w14:textId="2A365D53" w:rsidR="00764EC4" w:rsidRPr="007504E6" w:rsidRDefault="00764EC4"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6"/>
                <w:szCs w:val="16"/>
                <w:lang w:val="en-GB"/>
              </w:rPr>
            </w:pPr>
            <w:r w:rsidRPr="007504E6">
              <w:rPr>
                <w:rFonts w:ascii="Times New Roman" w:hAnsi="Times New Roman" w:cs="Times New Roman"/>
                <w:i/>
                <w:iCs/>
                <w:sz w:val="16"/>
                <w:szCs w:val="16"/>
                <w:lang w:val="en-GB"/>
              </w:rPr>
              <w:t>0</w:t>
            </w:r>
            <w:r w:rsidR="0058391C" w:rsidRPr="007504E6">
              <w:rPr>
                <w:rFonts w:ascii="Times New Roman" w:hAnsi="Times New Roman" w:cs="Times New Roman"/>
                <w:i/>
                <w:iCs/>
                <w:sz w:val="16"/>
                <w:szCs w:val="16"/>
                <w:lang w:val="en-GB"/>
              </w:rPr>
              <w:t>.</w:t>
            </w:r>
            <w:r w:rsidRPr="007504E6">
              <w:rPr>
                <w:rFonts w:ascii="Times New Roman" w:hAnsi="Times New Roman" w:cs="Times New Roman"/>
                <w:i/>
                <w:iCs/>
                <w:sz w:val="16"/>
                <w:szCs w:val="16"/>
                <w:lang w:val="en-GB"/>
              </w:rPr>
              <w:t>8</w:t>
            </w:r>
            <w:r w:rsidR="007D049B" w:rsidRPr="007504E6">
              <w:rPr>
                <w:rFonts w:ascii="Times New Roman" w:hAnsi="Times New Roman" w:cs="Times New Roman"/>
                <w:i/>
                <w:iCs/>
                <w:sz w:val="16"/>
                <w:szCs w:val="16"/>
                <w:lang w:val="en-GB"/>
              </w:rPr>
              <w:t xml:space="preserve"> pp</w:t>
            </w:r>
          </w:p>
        </w:tc>
        <w:tc>
          <w:tcPr>
            <w:tcW w:w="736" w:type="dxa"/>
            <w:noWrap/>
            <w:vAlign w:val="center"/>
            <w:hideMark/>
          </w:tcPr>
          <w:p w14:paraId="0868FA8D" w14:textId="5A859A80" w:rsidR="00764EC4" w:rsidRPr="007504E6" w:rsidRDefault="00764EC4"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6"/>
                <w:szCs w:val="16"/>
                <w:lang w:val="en-GB"/>
              </w:rPr>
            </w:pPr>
            <w:r w:rsidRPr="007504E6">
              <w:rPr>
                <w:rFonts w:ascii="Times New Roman" w:hAnsi="Times New Roman" w:cs="Times New Roman"/>
                <w:i/>
                <w:iCs/>
                <w:sz w:val="16"/>
                <w:szCs w:val="16"/>
                <w:lang w:val="en-GB"/>
              </w:rPr>
              <w:t>1</w:t>
            </w:r>
            <w:r w:rsidR="0058391C" w:rsidRPr="007504E6">
              <w:rPr>
                <w:rFonts w:ascii="Times New Roman" w:hAnsi="Times New Roman" w:cs="Times New Roman"/>
                <w:i/>
                <w:iCs/>
                <w:sz w:val="16"/>
                <w:szCs w:val="16"/>
                <w:lang w:val="en-GB"/>
              </w:rPr>
              <w:t>.</w:t>
            </w:r>
            <w:r w:rsidRPr="007504E6">
              <w:rPr>
                <w:rFonts w:ascii="Times New Roman" w:hAnsi="Times New Roman" w:cs="Times New Roman"/>
                <w:i/>
                <w:iCs/>
                <w:sz w:val="16"/>
                <w:szCs w:val="16"/>
                <w:lang w:val="en-GB"/>
              </w:rPr>
              <w:t>4</w:t>
            </w:r>
            <w:r w:rsidR="007D049B" w:rsidRPr="007504E6">
              <w:rPr>
                <w:rFonts w:ascii="Times New Roman" w:hAnsi="Times New Roman" w:cs="Times New Roman"/>
                <w:i/>
                <w:iCs/>
                <w:sz w:val="16"/>
                <w:szCs w:val="16"/>
                <w:lang w:val="en-GB"/>
              </w:rPr>
              <w:t xml:space="preserve"> pp</w:t>
            </w:r>
          </w:p>
        </w:tc>
      </w:tr>
    </w:tbl>
    <w:p w14:paraId="0CE7C251" w14:textId="77777777" w:rsidR="00FD78C6" w:rsidRPr="007504E6" w:rsidRDefault="00FD78C6" w:rsidP="00266E91">
      <w:pPr>
        <w:spacing w:line="276" w:lineRule="auto"/>
        <w:ind w:firstLine="0"/>
        <w:rPr>
          <w:rFonts w:ascii="Times New Roman" w:hAnsi="Times New Roman" w:cs="Times New Roman"/>
          <w:lang w:val="en-GB"/>
        </w:rPr>
      </w:pPr>
    </w:p>
    <w:p w14:paraId="7364831B" w14:textId="19C286E1" w:rsidR="00203F68" w:rsidRPr="007504E6" w:rsidRDefault="00824595" w:rsidP="001503B3">
      <w:pPr>
        <w:spacing w:line="276" w:lineRule="auto"/>
        <w:ind w:firstLine="0"/>
        <w:rPr>
          <w:rFonts w:ascii="Times New Roman" w:hAnsi="Times New Roman" w:cs="Times New Roman"/>
          <w:lang w:val="en-GB"/>
        </w:rPr>
      </w:pPr>
      <w:r w:rsidRPr="007504E6">
        <w:rPr>
          <w:rFonts w:ascii="Times New Roman" w:hAnsi="Times New Roman" w:cs="Times New Roman"/>
          <w:lang w:val="en-GB"/>
        </w:rPr>
        <w:t>In particular, cost estimates have been accurate, varying by not more than one and a half percentage points. A comparison of forecasts and actual data indicates a high level of competence for construction experts in Latvia and a sound methodology.</w:t>
      </w:r>
    </w:p>
    <w:p w14:paraId="53AE1D98" w14:textId="77777777" w:rsidR="00824595" w:rsidRPr="007504E6" w:rsidRDefault="00824595" w:rsidP="001503B3">
      <w:pPr>
        <w:spacing w:line="276" w:lineRule="auto"/>
        <w:ind w:firstLine="0"/>
        <w:rPr>
          <w:rFonts w:ascii="Times New Roman" w:hAnsi="Times New Roman" w:cs="Times New Roman"/>
          <w:lang w:val="en-GB"/>
        </w:rPr>
      </w:pPr>
    </w:p>
    <w:p w14:paraId="0443B4DB" w14:textId="645C3FEC" w:rsidR="00203F68" w:rsidRPr="007504E6" w:rsidRDefault="00F3312D" w:rsidP="001503B3">
      <w:pPr>
        <w:spacing w:line="276" w:lineRule="auto"/>
        <w:ind w:firstLine="0"/>
        <w:rPr>
          <w:rFonts w:ascii="Times New Roman" w:hAnsi="Times New Roman" w:cs="Times New Roman"/>
          <w:lang w:val="en-GB"/>
        </w:rPr>
      </w:pPr>
      <w:r w:rsidRPr="007504E6">
        <w:rPr>
          <w:rFonts w:ascii="Times New Roman" w:hAnsi="Times New Roman" w:cs="Times New Roman"/>
          <w:lang w:val="en-GB"/>
        </w:rPr>
        <w:t xml:space="preserve">Within the framework of the 2021 study, 59 experts from the Latvian construction sector expressed their views, representing 56 organizations from the public administration, civic initiative (NGO) and academia, as well as construction companies, including: the Latvian Association of Electricians and Energy Builders; Association of Transport Engineers; Ogre County Construction Board; Latvian Geotechnical Union; JSC “Latvian State Forests”; Latvian Builders Association; Latvian Traders Association; Building Materials Manufacturers Association; Latvian Partnership of Construction Contractors; Latvian Union of Civil Engineers; Real Estate Developers Alliance; Ministry of Environmental Protection and Regional Development; Latvian Association of Heat, Gas and Water Technology Engineers; </w:t>
      </w:r>
      <w:proofErr w:type="spellStart"/>
      <w:r w:rsidRPr="007504E6">
        <w:rPr>
          <w:rFonts w:ascii="Times New Roman" w:hAnsi="Times New Roman" w:cs="Times New Roman"/>
          <w:lang w:val="en-GB"/>
        </w:rPr>
        <w:t>Rezekne</w:t>
      </w:r>
      <w:proofErr w:type="spellEnd"/>
      <w:r w:rsidRPr="007504E6">
        <w:rPr>
          <w:rFonts w:ascii="Times New Roman" w:hAnsi="Times New Roman" w:cs="Times New Roman"/>
          <w:lang w:val="en-GB"/>
        </w:rPr>
        <w:t xml:space="preserve"> District Construction Board; </w:t>
      </w:r>
      <w:proofErr w:type="spellStart"/>
      <w:r w:rsidRPr="007504E6">
        <w:rPr>
          <w:rFonts w:ascii="Times New Roman" w:hAnsi="Times New Roman" w:cs="Times New Roman"/>
          <w:lang w:val="en-GB"/>
        </w:rPr>
        <w:t>Ventspils</w:t>
      </w:r>
      <w:proofErr w:type="spellEnd"/>
      <w:r w:rsidRPr="007504E6">
        <w:rPr>
          <w:rFonts w:ascii="Times New Roman" w:hAnsi="Times New Roman" w:cs="Times New Roman"/>
          <w:lang w:val="en-GB"/>
        </w:rPr>
        <w:t xml:space="preserve"> City Council; </w:t>
      </w:r>
      <w:proofErr w:type="spellStart"/>
      <w:r w:rsidRPr="007504E6">
        <w:rPr>
          <w:rFonts w:ascii="Times New Roman" w:hAnsi="Times New Roman" w:cs="Times New Roman"/>
          <w:lang w:val="en-GB"/>
        </w:rPr>
        <w:t>Kuldiga</w:t>
      </w:r>
      <w:proofErr w:type="spellEnd"/>
      <w:r w:rsidRPr="007504E6">
        <w:rPr>
          <w:rFonts w:ascii="Times New Roman" w:hAnsi="Times New Roman" w:cs="Times New Roman"/>
          <w:lang w:val="en-GB"/>
        </w:rPr>
        <w:t xml:space="preserve"> municipality; </w:t>
      </w:r>
      <w:proofErr w:type="spellStart"/>
      <w:r w:rsidRPr="007504E6">
        <w:rPr>
          <w:rFonts w:ascii="Times New Roman" w:hAnsi="Times New Roman" w:cs="Times New Roman"/>
          <w:lang w:val="en-GB"/>
        </w:rPr>
        <w:t>Valmiera</w:t>
      </w:r>
      <w:proofErr w:type="spellEnd"/>
      <w:r w:rsidRPr="007504E6">
        <w:rPr>
          <w:rFonts w:ascii="Times New Roman" w:hAnsi="Times New Roman" w:cs="Times New Roman"/>
          <w:lang w:val="en-GB"/>
        </w:rPr>
        <w:t xml:space="preserve"> City Municipality; Department of Architecture and Construction, Latvia University of Agriculture; University</w:t>
      </w:r>
      <w:r w:rsidR="00412922">
        <w:rPr>
          <w:rFonts w:ascii="Times New Roman" w:hAnsi="Times New Roman" w:cs="Times New Roman"/>
          <w:lang w:val="en-GB"/>
        </w:rPr>
        <w:t xml:space="preserve"> of Latvia</w:t>
      </w:r>
      <w:r w:rsidRPr="007504E6">
        <w:rPr>
          <w:rFonts w:ascii="Times New Roman" w:hAnsi="Times New Roman" w:cs="Times New Roman"/>
          <w:lang w:val="en-GB"/>
        </w:rPr>
        <w:t xml:space="preserve">; AS </w:t>
      </w:r>
      <w:proofErr w:type="spellStart"/>
      <w:r w:rsidRPr="007504E6">
        <w:rPr>
          <w:rFonts w:ascii="Times New Roman" w:hAnsi="Times New Roman" w:cs="Times New Roman"/>
          <w:lang w:val="en-GB"/>
        </w:rPr>
        <w:t>Sakret</w:t>
      </w:r>
      <w:proofErr w:type="spellEnd"/>
      <w:r w:rsidRPr="007504E6">
        <w:rPr>
          <w:rFonts w:ascii="Times New Roman" w:hAnsi="Times New Roman" w:cs="Times New Roman"/>
          <w:lang w:val="en-GB"/>
        </w:rPr>
        <w:t xml:space="preserve"> Holdings; AS “SEB </w:t>
      </w:r>
      <w:proofErr w:type="spellStart"/>
      <w:r w:rsidRPr="007504E6">
        <w:rPr>
          <w:rFonts w:ascii="Times New Roman" w:hAnsi="Times New Roman" w:cs="Times New Roman"/>
          <w:lang w:val="en-GB"/>
        </w:rPr>
        <w:t>banka</w:t>
      </w:r>
      <w:proofErr w:type="spellEnd"/>
      <w:r w:rsidRPr="007504E6">
        <w:rPr>
          <w:rFonts w:ascii="Times New Roman" w:hAnsi="Times New Roman" w:cs="Times New Roman"/>
          <w:lang w:val="en-GB"/>
        </w:rPr>
        <w:t>”; SIA “Citrus Solutions”; SIA “</w:t>
      </w:r>
      <w:proofErr w:type="spellStart"/>
      <w:r w:rsidRPr="007504E6">
        <w:rPr>
          <w:rFonts w:ascii="Times New Roman" w:hAnsi="Times New Roman" w:cs="Times New Roman"/>
          <w:lang w:val="en-GB"/>
        </w:rPr>
        <w:t>Ostas</w:t>
      </w:r>
      <w:proofErr w:type="spellEnd"/>
      <w:r w:rsidRPr="007504E6">
        <w:rPr>
          <w:rFonts w:ascii="Times New Roman" w:hAnsi="Times New Roman" w:cs="Times New Roman"/>
          <w:lang w:val="en-GB"/>
        </w:rPr>
        <w:t xml:space="preserve"> </w:t>
      </w:r>
      <w:proofErr w:type="spellStart"/>
      <w:r w:rsidRPr="007504E6">
        <w:rPr>
          <w:rFonts w:ascii="Times New Roman" w:hAnsi="Times New Roman" w:cs="Times New Roman"/>
          <w:lang w:val="en-GB"/>
        </w:rPr>
        <w:t>celtnieks</w:t>
      </w:r>
      <w:proofErr w:type="spellEnd"/>
      <w:r w:rsidRPr="007504E6">
        <w:rPr>
          <w:rFonts w:ascii="Times New Roman" w:hAnsi="Times New Roman" w:cs="Times New Roman"/>
          <w:lang w:val="en-GB"/>
        </w:rPr>
        <w:t>”; Latvian State Roads, SIA “</w:t>
      </w:r>
      <w:proofErr w:type="spellStart"/>
      <w:r w:rsidRPr="007504E6">
        <w:rPr>
          <w:rFonts w:ascii="Times New Roman" w:hAnsi="Times New Roman" w:cs="Times New Roman"/>
          <w:lang w:val="en-GB"/>
        </w:rPr>
        <w:t>Limbažu</w:t>
      </w:r>
      <w:proofErr w:type="spellEnd"/>
      <w:r w:rsidRPr="007504E6">
        <w:rPr>
          <w:rFonts w:ascii="Times New Roman" w:hAnsi="Times New Roman" w:cs="Times New Roman"/>
          <w:lang w:val="en-GB"/>
        </w:rPr>
        <w:t xml:space="preserve"> </w:t>
      </w:r>
      <w:proofErr w:type="spellStart"/>
      <w:r w:rsidRPr="007504E6">
        <w:rPr>
          <w:rFonts w:ascii="Times New Roman" w:hAnsi="Times New Roman" w:cs="Times New Roman"/>
          <w:lang w:val="en-GB"/>
        </w:rPr>
        <w:t>ceļi</w:t>
      </w:r>
      <w:proofErr w:type="spellEnd"/>
      <w:r w:rsidRPr="007504E6">
        <w:rPr>
          <w:rFonts w:ascii="Times New Roman" w:hAnsi="Times New Roman" w:cs="Times New Roman"/>
          <w:lang w:val="en-GB"/>
        </w:rPr>
        <w:t>”; Association “Latvian Road Construction”, SIA “Optimera Latvia”; SIA “BIM Solutions”; SIA “</w:t>
      </w:r>
      <w:proofErr w:type="spellStart"/>
      <w:r w:rsidRPr="007504E6">
        <w:rPr>
          <w:rFonts w:ascii="Times New Roman" w:hAnsi="Times New Roman" w:cs="Times New Roman"/>
          <w:lang w:val="en-GB"/>
        </w:rPr>
        <w:t>Arčers</w:t>
      </w:r>
      <w:proofErr w:type="spellEnd"/>
      <w:r w:rsidRPr="007504E6">
        <w:rPr>
          <w:rFonts w:ascii="Times New Roman" w:hAnsi="Times New Roman" w:cs="Times New Roman"/>
          <w:lang w:val="en-GB"/>
        </w:rPr>
        <w:t>”. A detailed list of experts and the organizations they represent can be found at the end of the report (see table of contents)</w:t>
      </w:r>
      <w:r w:rsidR="00203F68" w:rsidRPr="007504E6">
        <w:rPr>
          <w:rFonts w:ascii="Times New Roman" w:hAnsi="Times New Roman" w:cs="Times New Roman"/>
          <w:lang w:val="en-GB"/>
        </w:rPr>
        <w:t>.</w:t>
      </w:r>
    </w:p>
    <w:p w14:paraId="669B484E" w14:textId="6E31BCF6" w:rsidR="001503B3" w:rsidRPr="007504E6" w:rsidRDefault="001503B3" w:rsidP="001503B3">
      <w:pPr>
        <w:spacing w:line="276" w:lineRule="auto"/>
        <w:ind w:firstLine="0"/>
        <w:rPr>
          <w:rFonts w:ascii="Times New Roman" w:hAnsi="Times New Roman" w:cs="Times New Roman"/>
          <w:lang w:val="en-GB"/>
        </w:rPr>
      </w:pPr>
    </w:p>
    <w:p w14:paraId="052B2767" w14:textId="2A82ABF0" w:rsidR="001503B3" w:rsidRPr="007504E6" w:rsidRDefault="00F3312D" w:rsidP="001503B3">
      <w:pPr>
        <w:spacing w:line="276" w:lineRule="auto"/>
        <w:ind w:firstLine="0"/>
        <w:rPr>
          <w:rFonts w:ascii="Times New Roman" w:hAnsi="Times New Roman" w:cs="Times New Roman"/>
          <w:lang w:val="en-GB"/>
        </w:rPr>
      </w:pPr>
      <w:r w:rsidRPr="007504E6">
        <w:rPr>
          <w:rFonts w:ascii="Times New Roman" w:hAnsi="Times New Roman" w:cs="Times New Roman"/>
          <w:lang w:val="en-GB"/>
        </w:rPr>
        <w:t>The forecasts obtained in 2021 indicate that the volume of construction in 2021 compared to 2020 will increase by +6.6%, continuing to grow in 2022 +7.1%. Between 2023 and 2025, growth is projected to continue at a relatively steady pace between 6.5% and 4.9%. It is important to note that most of the construction experts interviewed point to high reliability of forecasts for the next 12 months, but given the current high economic uncertainty, 2-4 year forecasts may be significantly more inaccurate</w:t>
      </w:r>
      <w:r w:rsidR="005F6111" w:rsidRPr="007504E6">
        <w:rPr>
          <w:rFonts w:ascii="Times New Roman" w:hAnsi="Times New Roman" w:cs="Times New Roman"/>
          <w:lang w:val="en-GB"/>
        </w:rPr>
        <w:t>.</w:t>
      </w:r>
    </w:p>
    <w:p w14:paraId="1B72E229" w14:textId="38B37F6A" w:rsidR="005F622A" w:rsidRPr="007504E6" w:rsidRDefault="00F3312D" w:rsidP="005F622A">
      <w:pPr>
        <w:pStyle w:val="Parakstszemobjekta"/>
        <w:spacing w:after="0"/>
        <w:jc w:val="right"/>
        <w:rPr>
          <w:rFonts w:ascii="Times New Roman" w:hAnsi="Times New Roman" w:cs="Times New Roman"/>
          <w:lang w:val="en-GB"/>
        </w:rPr>
      </w:pPr>
      <w:r w:rsidRPr="007504E6">
        <w:rPr>
          <w:rFonts w:ascii="Times New Roman" w:hAnsi="Times New Roman" w:cs="Times New Roman"/>
          <w:lang w:val="en-GB"/>
        </w:rPr>
        <w:t>Table</w:t>
      </w:r>
      <w:r w:rsidR="005F622A" w:rsidRPr="007504E6">
        <w:rPr>
          <w:rFonts w:ascii="Times New Roman" w:hAnsi="Times New Roman" w:cs="Times New Roman"/>
          <w:lang w:val="en-GB"/>
        </w:rPr>
        <w:t xml:space="preserve">  </w:t>
      </w:r>
      <w:r w:rsidR="005F622A" w:rsidRPr="007504E6">
        <w:rPr>
          <w:rFonts w:ascii="Times New Roman" w:hAnsi="Times New Roman" w:cs="Times New Roman"/>
          <w:lang w:val="en-GB"/>
        </w:rPr>
        <w:fldChar w:fldCharType="begin"/>
      </w:r>
      <w:r w:rsidR="005F622A" w:rsidRPr="007504E6">
        <w:rPr>
          <w:rFonts w:ascii="Times New Roman" w:hAnsi="Times New Roman" w:cs="Times New Roman"/>
          <w:lang w:val="en-GB"/>
        </w:rPr>
        <w:instrText xml:space="preserve"> SEQ Tab._ \* ARABIC </w:instrText>
      </w:r>
      <w:r w:rsidR="005F622A" w:rsidRPr="007504E6">
        <w:rPr>
          <w:rFonts w:ascii="Times New Roman" w:hAnsi="Times New Roman" w:cs="Times New Roman"/>
          <w:lang w:val="en-GB"/>
        </w:rPr>
        <w:fldChar w:fldCharType="separate"/>
      </w:r>
      <w:r w:rsidR="00D500F7">
        <w:rPr>
          <w:rFonts w:ascii="Times New Roman" w:hAnsi="Times New Roman" w:cs="Times New Roman"/>
          <w:noProof/>
          <w:lang w:val="en-GB"/>
        </w:rPr>
        <w:t>2</w:t>
      </w:r>
      <w:r w:rsidR="005F622A" w:rsidRPr="007504E6">
        <w:rPr>
          <w:rFonts w:ascii="Times New Roman" w:hAnsi="Times New Roman" w:cs="Times New Roman"/>
          <w:noProof/>
          <w:lang w:val="en-GB"/>
        </w:rPr>
        <w:fldChar w:fldCharType="end"/>
      </w:r>
      <w:r w:rsidR="005F622A" w:rsidRPr="007504E6">
        <w:rPr>
          <w:rFonts w:ascii="Times New Roman" w:hAnsi="Times New Roman" w:cs="Times New Roman"/>
          <w:lang w:val="en-GB"/>
        </w:rPr>
        <w:t>.</w:t>
      </w:r>
    </w:p>
    <w:p w14:paraId="64CC55EC" w14:textId="19FBD4D3" w:rsidR="00904E13" w:rsidRPr="007504E6" w:rsidRDefault="005F622A" w:rsidP="005F622A">
      <w:pPr>
        <w:pStyle w:val="Parakstszemobjekta"/>
        <w:spacing w:after="0"/>
        <w:jc w:val="right"/>
        <w:rPr>
          <w:rFonts w:ascii="Times New Roman" w:hAnsi="Times New Roman" w:cs="Times New Roman"/>
          <w:lang w:val="en-GB"/>
        </w:rPr>
      </w:pPr>
      <w:r w:rsidRPr="007504E6">
        <w:rPr>
          <w:rFonts w:ascii="Times New Roman" w:hAnsi="Times New Roman" w:cs="Times New Roman"/>
          <w:lang w:val="en-GB"/>
        </w:rPr>
        <w:t xml:space="preserve"> </w:t>
      </w:r>
      <w:r w:rsidR="00F76142" w:rsidRPr="007504E6">
        <w:rPr>
          <w:rFonts w:ascii="Times New Roman" w:hAnsi="Times New Roman" w:cs="Times New Roman"/>
          <w:lang w:val="en-GB"/>
        </w:rPr>
        <w:t>Forecasts of changes in the volume of construction output compared to the previous year 2021-2025. year.</w:t>
      </w:r>
    </w:p>
    <w:tbl>
      <w:tblPr>
        <w:tblStyle w:val="GridTable31"/>
        <w:tblW w:w="9115" w:type="dxa"/>
        <w:tblLook w:val="04A0" w:firstRow="1" w:lastRow="0" w:firstColumn="1" w:lastColumn="0" w:noHBand="0" w:noVBand="1"/>
      </w:tblPr>
      <w:tblGrid>
        <w:gridCol w:w="1344"/>
        <w:gridCol w:w="1345"/>
        <w:gridCol w:w="1842"/>
        <w:gridCol w:w="1843"/>
        <w:gridCol w:w="2741"/>
      </w:tblGrid>
      <w:tr w:rsidR="00FD78C6" w:rsidRPr="007504E6" w14:paraId="261C4083" w14:textId="77777777" w:rsidTr="00BB4237">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9115" w:type="dxa"/>
            <w:gridSpan w:val="5"/>
            <w:hideMark/>
          </w:tcPr>
          <w:p w14:paraId="4513DD44" w14:textId="1E78E8CB" w:rsidR="00FD78C6" w:rsidRPr="007504E6" w:rsidRDefault="00F76142" w:rsidP="00A57B7B">
            <w:pPr>
              <w:jc w:val="center"/>
              <w:rPr>
                <w:rFonts w:ascii="Times New Roman" w:hAnsi="Times New Roman" w:cs="Times New Roman"/>
                <w:lang w:val="en-GB"/>
              </w:rPr>
            </w:pPr>
            <w:r w:rsidRPr="007504E6">
              <w:rPr>
                <w:rFonts w:ascii="Times New Roman" w:hAnsi="Times New Roman" w:cs="Times New Roman"/>
                <w:lang w:val="en-GB"/>
              </w:rPr>
              <w:t>Construction output VOLUME forecasts against the previous year 2021-2025. year</w:t>
            </w:r>
          </w:p>
        </w:tc>
      </w:tr>
      <w:tr w:rsidR="00FD78C6" w:rsidRPr="007504E6" w14:paraId="75187996" w14:textId="77777777" w:rsidTr="00B3127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E3AE05" w14:textId="7872E06F" w:rsidR="00FD78C6" w:rsidRPr="007504E6" w:rsidRDefault="00FD78C6" w:rsidP="00B31270">
            <w:pPr>
              <w:ind w:firstLine="0"/>
              <w:jc w:val="center"/>
              <w:rPr>
                <w:rFonts w:ascii="Times New Roman" w:hAnsi="Times New Roman" w:cs="Times New Roman"/>
                <w:sz w:val="20"/>
                <w:szCs w:val="20"/>
                <w:lang w:val="en-GB"/>
              </w:rPr>
            </w:pPr>
            <w:r w:rsidRPr="007504E6">
              <w:rPr>
                <w:rFonts w:ascii="Times New Roman" w:hAnsi="Times New Roman" w:cs="Times New Roman"/>
                <w:sz w:val="20"/>
                <w:szCs w:val="20"/>
                <w:lang w:val="en-GB"/>
              </w:rPr>
              <w:t>2019</w:t>
            </w:r>
          </w:p>
        </w:tc>
        <w:tc>
          <w:tcPr>
            <w:tcW w:w="1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97B3C8" w14:textId="6A18F616" w:rsidR="00FD78C6" w:rsidRPr="007504E6" w:rsidRDefault="00FD78C6" w:rsidP="00B3127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lang w:val="en-GB"/>
              </w:rPr>
            </w:pPr>
            <w:r w:rsidRPr="007504E6">
              <w:rPr>
                <w:rFonts w:ascii="Times New Roman" w:hAnsi="Times New Roman" w:cs="Times New Roman"/>
                <w:i/>
                <w:iCs/>
                <w:sz w:val="20"/>
                <w:szCs w:val="20"/>
                <w:lang w:val="en-GB"/>
              </w:rPr>
              <w:t>2020</w:t>
            </w:r>
          </w:p>
        </w:tc>
        <w:tc>
          <w:tcPr>
            <w:tcW w:w="1842" w:type="dxa"/>
            <w:tcBorders>
              <w:left w:val="single" w:sz="4" w:space="0" w:color="auto"/>
            </w:tcBorders>
            <w:shd w:val="clear" w:color="auto" w:fill="D9E2F3" w:themeFill="accent1" w:themeFillTint="33"/>
            <w:vAlign w:val="center"/>
            <w:hideMark/>
          </w:tcPr>
          <w:p w14:paraId="4FD8E1D0" w14:textId="2844BB7F" w:rsidR="00FD78C6" w:rsidRPr="007504E6" w:rsidRDefault="00F76142" w:rsidP="00B3127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lang w:val="en-GB"/>
              </w:rPr>
            </w:pPr>
            <w:r w:rsidRPr="007504E6">
              <w:rPr>
                <w:rFonts w:ascii="Times New Roman" w:hAnsi="Times New Roman" w:cs="Times New Roman"/>
                <w:i/>
                <w:iCs/>
                <w:sz w:val="20"/>
                <w:szCs w:val="20"/>
                <w:lang w:val="en-GB"/>
              </w:rPr>
              <w:t xml:space="preserve">Forecast </w:t>
            </w:r>
            <w:r w:rsidR="00FD78C6" w:rsidRPr="007504E6">
              <w:rPr>
                <w:rFonts w:ascii="Times New Roman" w:hAnsi="Times New Roman" w:cs="Times New Roman"/>
                <w:i/>
                <w:iCs/>
                <w:sz w:val="20"/>
                <w:szCs w:val="20"/>
                <w:lang w:val="en-GB"/>
              </w:rPr>
              <w:t>2021</w:t>
            </w:r>
          </w:p>
        </w:tc>
        <w:tc>
          <w:tcPr>
            <w:tcW w:w="1843" w:type="dxa"/>
            <w:shd w:val="clear" w:color="auto" w:fill="D9E2F3" w:themeFill="accent1" w:themeFillTint="33"/>
            <w:vAlign w:val="center"/>
            <w:hideMark/>
          </w:tcPr>
          <w:p w14:paraId="4E5BC074" w14:textId="38EBDA9D" w:rsidR="00FD78C6" w:rsidRPr="007504E6" w:rsidRDefault="00F76142" w:rsidP="00B3127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lang w:val="en-GB"/>
              </w:rPr>
            </w:pPr>
            <w:r w:rsidRPr="007504E6">
              <w:rPr>
                <w:rFonts w:ascii="Times New Roman" w:hAnsi="Times New Roman" w:cs="Times New Roman"/>
                <w:i/>
                <w:iCs/>
                <w:sz w:val="20"/>
                <w:szCs w:val="20"/>
                <w:lang w:val="en-GB"/>
              </w:rPr>
              <w:t xml:space="preserve">Forecast </w:t>
            </w:r>
            <w:r w:rsidR="00FD78C6" w:rsidRPr="007504E6">
              <w:rPr>
                <w:rFonts w:ascii="Times New Roman" w:hAnsi="Times New Roman" w:cs="Times New Roman"/>
                <w:i/>
                <w:iCs/>
                <w:sz w:val="20"/>
                <w:szCs w:val="20"/>
                <w:lang w:val="en-GB"/>
              </w:rPr>
              <w:t>202</w:t>
            </w:r>
            <w:r w:rsidRPr="007504E6">
              <w:rPr>
                <w:rFonts w:ascii="Times New Roman" w:hAnsi="Times New Roman" w:cs="Times New Roman"/>
                <w:i/>
                <w:iCs/>
                <w:sz w:val="20"/>
                <w:szCs w:val="20"/>
                <w:lang w:val="en-GB"/>
              </w:rPr>
              <w:t>2</w:t>
            </w:r>
          </w:p>
        </w:tc>
        <w:tc>
          <w:tcPr>
            <w:tcW w:w="2741" w:type="dxa"/>
            <w:shd w:val="clear" w:color="auto" w:fill="D9E2F3" w:themeFill="accent1" w:themeFillTint="33"/>
            <w:vAlign w:val="center"/>
            <w:hideMark/>
          </w:tcPr>
          <w:p w14:paraId="30F2FE74" w14:textId="0CF92E30" w:rsidR="00FD78C6" w:rsidRPr="007504E6" w:rsidRDefault="00F76142" w:rsidP="00B3127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lang w:val="en-GB"/>
              </w:rPr>
            </w:pPr>
            <w:r w:rsidRPr="007504E6">
              <w:rPr>
                <w:rFonts w:ascii="Times New Roman" w:hAnsi="Times New Roman" w:cs="Times New Roman"/>
                <w:i/>
                <w:iCs/>
                <w:sz w:val="20"/>
                <w:szCs w:val="20"/>
                <w:lang w:val="en-GB"/>
              </w:rPr>
              <w:t xml:space="preserve">Assessment </w:t>
            </w:r>
            <w:r w:rsidR="00FD78C6" w:rsidRPr="007504E6">
              <w:rPr>
                <w:rFonts w:ascii="Times New Roman" w:hAnsi="Times New Roman" w:cs="Times New Roman"/>
                <w:i/>
                <w:iCs/>
                <w:sz w:val="20"/>
                <w:szCs w:val="20"/>
                <w:lang w:val="en-GB"/>
              </w:rPr>
              <w:t>2023-2025</w:t>
            </w:r>
          </w:p>
        </w:tc>
      </w:tr>
      <w:tr w:rsidR="00FD78C6" w:rsidRPr="007504E6" w14:paraId="46201369" w14:textId="77777777" w:rsidTr="00B31270">
        <w:trPr>
          <w:trHeight w:val="340"/>
        </w:trPr>
        <w:tc>
          <w:tcPr>
            <w:cnfStyle w:val="001000000000" w:firstRow="0" w:lastRow="0" w:firstColumn="1" w:lastColumn="0" w:oddVBand="0" w:evenVBand="0" w:oddHBand="0" w:evenHBand="0" w:firstRowFirstColumn="0" w:firstRowLastColumn="0" w:lastRowFirstColumn="0" w:lastRowLastColumn="0"/>
            <w:tcW w:w="13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FD5A57" w14:textId="2D444832" w:rsidR="00FD78C6" w:rsidRPr="007504E6" w:rsidRDefault="00FD78C6" w:rsidP="00B31270">
            <w:pPr>
              <w:ind w:firstLine="0"/>
              <w:jc w:val="center"/>
              <w:rPr>
                <w:rFonts w:ascii="Times New Roman" w:hAnsi="Times New Roman" w:cs="Times New Roman"/>
                <w:lang w:val="en-GB"/>
              </w:rPr>
            </w:pPr>
            <w:r w:rsidRPr="007504E6">
              <w:rPr>
                <w:rFonts w:ascii="Times New Roman" w:hAnsi="Times New Roman" w:cs="Times New Roman"/>
                <w:lang w:val="en-GB"/>
              </w:rPr>
              <w:t>+2</w:t>
            </w:r>
            <w:r w:rsidR="00F76142" w:rsidRPr="007504E6">
              <w:rPr>
                <w:rFonts w:ascii="Times New Roman" w:hAnsi="Times New Roman" w:cs="Times New Roman"/>
                <w:lang w:val="en-GB"/>
              </w:rPr>
              <w:t>.</w:t>
            </w:r>
            <w:r w:rsidRPr="007504E6">
              <w:rPr>
                <w:rFonts w:ascii="Times New Roman" w:hAnsi="Times New Roman" w:cs="Times New Roman"/>
                <w:lang w:val="en-GB"/>
              </w:rPr>
              <w:t>9%</w:t>
            </w:r>
          </w:p>
        </w:tc>
        <w:tc>
          <w:tcPr>
            <w:tcW w:w="1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7F9659" w14:textId="20CA091C" w:rsidR="00FD78C6" w:rsidRPr="007504E6" w:rsidRDefault="00FD78C6" w:rsidP="00B31270">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+2</w:t>
            </w:r>
            <w:r w:rsidR="00F76142" w:rsidRPr="007504E6">
              <w:rPr>
                <w:rFonts w:ascii="Times New Roman" w:hAnsi="Times New Roman" w:cs="Times New Roman"/>
                <w:lang w:val="en-GB"/>
              </w:rPr>
              <w:t>.</w:t>
            </w:r>
            <w:r w:rsidRPr="007504E6">
              <w:rPr>
                <w:rFonts w:ascii="Times New Roman" w:hAnsi="Times New Roman" w:cs="Times New Roman"/>
                <w:lang w:val="en-GB"/>
              </w:rPr>
              <w:t>7%</w:t>
            </w:r>
          </w:p>
        </w:tc>
        <w:tc>
          <w:tcPr>
            <w:tcW w:w="1842" w:type="dxa"/>
            <w:tcBorders>
              <w:left w:val="single" w:sz="4" w:space="0" w:color="auto"/>
            </w:tcBorders>
            <w:vAlign w:val="center"/>
            <w:hideMark/>
          </w:tcPr>
          <w:p w14:paraId="39B78689" w14:textId="77777777" w:rsidR="00FD78C6" w:rsidRPr="007504E6" w:rsidRDefault="00FD78C6" w:rsidP="00B312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tc>
        <w:tc>
          <w:tcPr>
            <w:tcW w:w="1843" w:type="dxa"/>
            <w:vAlign w:val="center"/>
            <w:hideMark/>
          </w:tcPr>
          <w:p w14:paraId="50B10412" w14:textId="77777777" w:rsidR="00FD78C6" w:rsidRPr="007504E6" w:rsidRDefault="00FD78C6" w:rsidP="00B312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tc>
        <w:tc>
          <w:tcPr>
            <w:tcW w:w="2741" w:type="dxa"/>
            <w:vAlign w:val="center"/>
            <w:hideMark/>
          </w:tcPr>
          <w:p w14:paraId="31F604BA" w14:textId="77777777" w:rsidR="00FD78C6" w:rsidRPr="007504E6" w:rsidRDefault="00FD78C6" w:rsidP="00B312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tc>
      </w:tr>
      <w:tr w:rsidR="00FD78C6" w:rsidRPr="007504E6" w14:paraId="4E406AAD" w14:textId="77777777" w:rsidTr="00B3127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89" w:type="dxa"/>
            <w:gridSpan w:val="2"/>
            <w:tcBorders>
              <w:top w:val="single" w:sz="4" w:space="0" w:color="auto"/>
            </w:tcBorders>
            <w:vAlign w:val="center"/>
            <w:hideMark/>
          </w:tcPr>
          <w:p w14:paraId="579573B1" w14:textId="0AC8A04E" w:rsidR="00FD78C6" w:rsidRPr="007504E6" w:rsidRDefault="00F76142" w:rsidP="00B31270">
            <w:pPr>
              <w:ind w:firstLine="0"/>
              <w:jc w:val="right"/>
              <w:rPr>
                <w:rFonts w:ascii="Times New Roman" w:hAnsi="Times New Roman" w:cs="Times New Roman"/>
                <w:lang w:val="en-GB"/>
              </w:rPr>
            </w:pPr>
            <w:r w:rsidRPr="007504E6">
              <w:rPr>
                <w:rFonts w:ascii="Times New Roman" w:hAnsi="Times New Roman" w:cs="Times New Roman"/>
                <w:lang w:val="en-GB"/>
              </w:rPr>
              <w:t>Combined forecast</w:t>
            </w:r>
            <w:r w:rsidR="00FD78C6" w:rsidRPr="007504E6">
              <w:rPr>
                <w:rFonts w:ascii="Times New Roman" w:hAnsi="Times New Roman" w:cs="Times New Roman"/>
                <w:lang w:val="en-GB"/>
              </w:rPr>
              <w:t xml:space="preserve"> </w:t>
            </w:r>
            <w:r w:rsidR="00FD78C6" w:rsidRPr="007504E6">
              <w:rPr>
                <w:rFonts w:ascii="Times New Roman" w:hAnsi="Times New Roman" w:cs="Times New Roman"/>
                <w:lang w:val="en-GB"/>
              </w:rPr>
              <w:sym w:font="Wingdings" w:char="F0E0"/>
            </w:r>
          </w:p>
        </w:tc>
        <w:tc>
          <w:tcPr>
            <w:tcW w:w="1842" w:type="dxa"/>
            <w:shd w:val="clear" w:color="auto" w:fill="D9E2F3" w:themeFill="accent1" w:themeFillTint="33"/>
            <w:vAlign w:val="center"/>
            <w:hideMark/>
          </w:tcPr>
          <w:p w14:paraId="1B843142" w14:textId="118428DC" w:rsidR="00FD78C6" w:rsidRPr="007504E6" w:rsidRDefault="00FD78C6" w:rsidP="00B3127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n-GB"/>
              </w:rPr>
            </w:pPr>
            <w:r w:rsidRPr="007504E6">
              <w:rPr>
                <w:rFonts w:ascii="Times New Roman" w:hAnsi="Times New Roman" w:cs="Times New Roman"/>
                <w:b/>
                <w:bCs/>
                <w:sz w:val="24"/>
                <w:szCs w:val="24"/>
                <w:lang w:val="en-GB"/>
              </w:rPr>
              <w:t>+6</w:t>
            </w:r>
            <w:r w:rsidR="00F76142" w:rsidRPr="007504E6">
              <w:rPr>
                <w:rFonts w:ascii="Times New Roman" w:hAnsi="Times New Roman" w:cs="Times New Roman"/>
                <w:b/>
                <w:bCs/>
                <w:sz w:val="24"/>
                <w:szCs w:val="24"/>
                <w:lang w:val="en-GB"/>
              </w:rPr>
              <w:t>.</w:t>
            </w:r>
            <w:r w:rsidRPr="007504E6">
              <w:rPr>
                <w:rFonts w:ascii="Times New Roman" w:hAnsi="Times New Roman" w:cs="Times New Roman"/>
                <w:b/>
                <w:bCs/>
                <w:sz w:val="24"/>
                <w:szCs w:val="24"/>
                <w:lang w:val="en-GB"/>
              </w:rPr>
              <w:t>6%</w:t>
            </w:r>
          </w:p>
        </w:tc>
        <w:tc>
          <w:tcPr>
            <w:tcW w:w="1843" w:type="dxa"/>
            <w:shd w:val="clear" w:color="auto" w:fill="D9E2F3" w:themeFill="accent1" w:themeFillTint="33"/>
            <w:vAlign w:val="center"/>
            <w:hideMark/>
          </w:tcPr>
          <w:p w14:paraId="3962704B" w14:textId="6AF0C948" w:rsidR="00FD78C6" w:rsidRPr="007504E6" w:rsidRDefault="00FD78C6" w:rsidP="00B3127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+7</w:t>
            </w:r>
            <w:r w:rsidR="00F76142" w:rsidRPr="007504E6">
              <w:rPr>
                <w:rFonts w:ascii="Times New Roman" w:hAnsi="Times New Roman" w:cs="Times New Roman"/>
                <w:lang w:val="en-GB"/>
              </w:rPr>
              <w:t>.</w:t>
            </w:r>
            <w:r w:rsidRPr="007504E6">
              <w:rPr>
                <w:rFonts w:ascii="Times New Roman" w:hAnsi="Times New Roman" w:cs="Times New Roman"/>
                <w:lang w:val="en-GB"/>
              </w:rPr>
              <w:t>1%</w:t>
            </w:r>
          </w:p>
        </w:tc>
        <w:tc>
          <w:tcPr>
            <w:tcW w:w="2741" w:type="dxa"/>
            <w:shd w:val="clear" w:color="auto" w:fill="D9E2F3" w:themeFill="accent1" w:themeFillTint="33"/>
            <w:vAlign w:val="center"/>
            <w:hideMark/>
          </w:tcPr>
          <w:p w14:paraId="107AB362" w14:textId="09B751B1" w:rsidR="00FD78C6" w:rsidRPr="007504E6" w:rsidRDefault="00FD78C6" w:rsidP="00B3127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+6</w:t>
            </w:r>
            <w:r w:rsidR="00F76142" w:rsidRPr="007504E6">
              <w:rPr>
                <w:rFonts w:ascii="Times New Roman" w:hAnsi="Times New Roman" w:cs="Times New Roman"/>
                <w:lang w:val="en-GB"/>
              </w:rPr>
              <w:t>.</w:t>
            </w:r>
            <w:r w:rsidRPr="007504E6">
              <w:rPr>
                <w:rFonts w:ascii="Times New Roman" w:hAnsi="Times New Roman" w:cs="Times New Roman"/>
                <w:lang w:val="en-GB"/>
              </w:rPr>
              <w:t xml:space="preserve">5% </w:t>
            </w:r>
            <w:r w:rsidR="00F76142" w:rsidRPr="007504E6">
              <w:rPr>
                <w:rFonts w:ascii="Times New Roman" w:hAnsi="Times New Roman" w:cs="Times New Roman"/>
                <w:lang w:val="en-GB"/>
              </w:rPr>
              <w:t>to</w:t>
            </w:r>
            <w:r w:rsidRPr="007504E6">
              <w:rPr>
                <w:rFonts w:ascii="Times New Roman" w:hAnsi="Times New Roman" w:cs="Times New Roman"/>
                <w:lang w:val="en-GB"/>
              </w:rPr>
              <w:t xml:space="preserve"> +4</w:t>
            </w:r>
            <w:r w:rsidR="00F76142" w:rsidRPr="007504E6">
              <w:rPr>
                <w:rFonts w:ascii="Times New Roman" w:hAnsi="Times New Roman" w:cs="Times New Roman"/>
                <w:lang w:val="en-GB"/>
              </w:rPr>
              <w:t>.</w:t>
            </w:r>
            <w:r w:rsidRPr="007504E6">
              <w:rPr>
                <w:rFonts w:ascii="Times New Roman" w:hAnsi="Times New Roman" w:cs="Times New Roman"/>
                <w:lang w:val="en-GB"/>
              </w:rPr>
              <w:t>9%</w:t>
            </w:r>
          </w:p>
        </w:tc>
      </w:tr>
      <w:tr w:rsidR="00FD78C6" w:rsidRPr="007504E6" w14:paraId="0DAEF0C6" w14:textId="77777777" w:rsidTr="00B31270">
        <w:trPr>
          <w:trHeight w:val="340"/>
        </w:trPr>
        <w:tc>
          <w:tcPr>
            <w:cnfStyle w:val="001000000000" w:firstRow="0" w:lastRow="0" w:firstColumn="1" w:lastColumn="0" w:oddVBand="0" w:evenVBand="0" w:oddHBand="0" w:evenHBand="0" w:firstRowFirstColumn="0" w:firstRowLastColumn="0" w:lastRowFirstColumn="0" w:lastRowLastColumn="0"/>
            <w:tcW w:w="2689" w:type="dxa"/>
            <w:gridSpan w:val="2"/>
            <w:vAlign w:val="center"/>
            <w:hideMark/>
          </w:tcPr>
          <w:p w14:paraId="184951E8" w14:textId="42E79B51" w:rsidR="00FD78C6" w:rsidRPr="007504E6" w:rsidRDefault="00F76142" w:rsidP="00B31270">
            <w:pPr>
              <w:ind w:firstLine="0"/>
              <w:jc w:val="right"/>
              <w:rPr>
                <w:rFonts w:ascii="Times New Roman" w:hAnsi="Times New Roman" w:cs="Times New Roman"/>
                <w:sz w:val="20"/>
                <w:szCs w:val="20"/>
                <w:lang w:val="en-GB"/>
              </w:rPr>
            </w:pPr>
            <w:r w:rsidRPr="007504E6">
              <w:rPr>
                <w:rFonts w:ascii="Times New Roman" w:hAnsi="Times New Roman" w:cs="Times New Roman"/>
                <w:sz w:val="20"/>
                <w:szCs w:val="20"/>
                <w:lang w:val="en-GB"/>
              </w:rPr>
              <w:t>Expert forecast</w:t>
            </w:r>
            <w:r w:rsidR="00FD78C6" w:rsidRPr="007504E6">
              <w:rPr>
                <w:rFonts w:ascii="Times New Roman" w:hAnsi="Times New Roman" w:cs="Times New Roman"/>
                <w:sz w:val="20"/>
                <w:szCs w:val="20"/>
                <w:lang w:val="en-GB"/>
              </w:rPr>
              <w:t xml:space="preserve"> </w:t>
            </w:r>
            <w:r w:rsidR="00FD78C6" w:rsidRPr="007504E6">
              <w:rPr>
                <w:rFonts w:ascii="Times New Roman" w:hAnsi="Times New Roman" w:cs="Times New Roman"/>
                <w:sz w:val="20"/>
                <w:szCs w:val="20"/>
                <w:lang w:val="en-GB"/>
              </w:rPr>
              <w:sym w:font="Wingdings" w:char="F0E0"/>
            </w:r>
          </w:p>
        </w:tc>
        <w:tc>
          <w:tcPr>
            <w:tcW w:w="1842" w:type="dxa"/>
            <w:vAlign w:val="center"/>
            <w:hideMark/>
          </w:tcPr>
          <w:p w14:paraId="4FD7E9B4" w14:textId="357FB7E8" w:rsidR="00FD78C6" w:rsidRPr="007504E6" w:rsidRDefault="00FD78C6" w:rsidP="00B31270">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en-GB"/>
              </w:rPr>
            </w:pPr>
            <w:r w:rsidRPr="007504E6">
              <w:rPr>
                <w:rFonts w:ascii="Times New Roman" w:hAnsi="Times New Roman" w:cs="Times New Roman"/>
                <w:i/>
                <w:iCs/>
                <w:sz w:val="20"/>
                <w:szCs w:val="20"/>
                <w:lang w:val="en-GB"/>
              </w:rPr>
              <w:t>+8</w:t>
            </w:r>
            <w:r w:rsidR="00F76142" w:rsidRPr="007504E6">
              <w:rPr>
                <w:rFonts w:ascii="Times New Roman" w:hAnsi="Times New Roman" w:cs="Times New Roman"/>
                <w:i/>
                <w:iCs/>
                <w:sz w:val="20"/>
                <w:szCs w:val="20"/>
                <w:lang w:val="en-GB"/>
              </w:rPr>
              <w:t>.</w:t>
            </w:r>
            <w:r w:rsidRPr="007504E6">
              <w:rPr>
                <w:rFonts w:ascii="Times New Roman" w:hAnsi="Times New Roman" w:cs="Times New Roman"/>
                <w:i/>
                <w:iCs/>
                <w:sz w:val="20"/>
                <w:szCs w:val="20"/>
                <w:lang w:val="en-GB"/>
              </w:rPr>
              <w:t>7%</w:t>
            </w:r>
          </w:p>
        </w:tc>
        <w:tc>
          <w:tcPr>
            <w:tcW w:w="1843" w:type="dxa"/>
            <w:vAlign w:val="center"/>
            <w:hideMark/>
          </w:tcPr>
          <w:p w14:paraId="292D6F9D" w14:textId="5F0BA4C3" w:rsidR="00FD78C6" w:rsidRPr="007504E6" w:rsidRDefault="00FD78C6" w:rsidP="00B31270">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en-GB"/>
              </w:rPr>
            </w:pPr>
            <w:r w:rsidRPr="007504E6">
              <w:rPr>
                <w:rFonts w:ascii="Times New Roman" w:hAnsi="Times New Roman" w:cs="Times New Roman"/>
                <w:i/>
                <w:iCs/>
                <w:sz w:val="20"/>
                <w:szCs w:val="20"/>
                <w:lang w:val="en-GB"/>
              </w:rPr>
              <w:t>+10</w:t>
            </w:r>
            <w:r w:rsidR="00F76142" w:rsidRPr="007504E6">
              <w:rPr>
                <w:rFonts w:ascii="Times New Roman" w:hAnsi="Times New Roman" w:cs="Times New Roman"/>
                <w:i/>
                <w:iCs/>
                <w:sz w:val="20"/>
                <w:szCs w:val="20"/>
                <w:lang w:val="en-GB"/>
              </w:rPr>
              <w:t>.</w:t>
            </w:r>
            <w:r w:rsidRPr="007504E6">
              <w:rPr>
                <w:rFonts w:ascii="Times New Roman" w:hAnsi="Times New Roman" w:cs="Times New Roman"/>
                <w:i/>
                <w:iCs/>
                <w:sz w:val="20"/>
                <w:szCs w:val="20"/>
                <w:lang w:val="en-GB"/>
              </w:rPr>
              <w:t>1%</w:t>
            </w:r>
          </w:p>
        </w:tc>
        <w:tc>
          <w:tcPr>
            <w:tcW w:w="2741" w:type="dxa"/>
            <w:vAlign w:val="center"/>
            <w:hideMark/>
          </w:tcPr>
          <w:p w14:paraId="4F1FAFFA" w14:textId="0978C038" w:rsidR="00FD78C6" w:rsidRPr="007504E6" w:rsidRDefault="00FD78C6" w:rsidP="00B31270">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en-GB"/>
              </w:rPr>
            </w:pPr>
            <w:r w:rsidRPr="007504E6">
              <w:rPr>
                <w:rFonts w:ascii="Times New Roman" w:hAnsi="Times New Roman" w:cs="Times New Roman"/>
                <w:i/>
                <w:iCs/>
                <w:sz w:val="20"/>
                <w:szCs w:val="20"/>
                <w:lang w:val="en-GB"/>
              </w:rPr>
              <w:t>+9</w:t>
            </w:r>
            <w:r w:rsidR="00F76142" w:rsidRPr="007504E6">
              <w:rPr>
                <w:rFonts w:ascii="Times New Roman" w:hAnsi="Times New Roman" w:cs="Times New Roman"/>
                <w:i/>
                <w:iCs/>
                <w:sz w:val="20"/>
                <w:szCs w:val="20"/>
                <w:lang w:val="en-GB"/>
              </w:rPr>
              <w:t>.</w:t>
            </w:r>
            <w:r w:rsidRPr="007504E6">
              <w:rPr>
                <w:rFonts w:ascii="Times New Roman" w:hAnsi="Times New Roman" w:cs="Times New Roman"/>
                <w:i/>
                <w:iCs/>
                <w:sz w:val="20"/>
                <w:szCs w:val="20"/>
                <w:lang w:val="en-GB"/>
              </w:rPr>
              <w:t xml:space="preserve">1% </w:t>
            </w:r>
            <w:r w:rsidR="00F76142" w:rsidRPr="007504E6">
              <w:rPr>
                <w:rFonts w:ascii="Times New Roman" w:hAnsi="Times New Roman" w:cs="Times New Roman"/>
                <w:i/>
                <w:iCs/>
                <w:sz w:val="20"/>
                <w:szCs w:val="20"/>
                <w:lang w:val="en-GB"/>
              </w:rPr>
              <w:t>to</w:t>
            </w:r>
            <w:r w:rsidRPr="007504E6">
              <w:rPr>
                <w:rFonts w:ascii="Times New Roman" w:hAnsi="Times New Roman" w:cs="Times New Roman"/>
                <w:i/>
                <w:iCs/>
                <w:sz w:val="20"/>
                <w:szCs w:val="20"/>
                <w:lang w:val="en-GB"/>
              </w:rPr>
              <w:t xml:space="preserve"> +6</w:t>
            </w:r>
            <w:r w:rsidR="00F76142" w:rsidRPr="007504E6">
              <w:rPr>
                <w:rFonts w:ascii="Times New Roman" w:hAnsi="Times New Roman" w:cs="Times New Roman"/>
                <w:i/>
                <w:iCs/>
                <w:sz w:val="20"/>
                <w:szCs w:val="20"/>
                <w:lang w:val="en-GB"/>
              </w:rPr>
              <w:t>.</w:t>
            </w:r>
            <w:r w:rsidRPr="007504E6">
              <w:rPr>
                <w:rFonts w:ascii="Times New Roman" w:hAnsi="Times New Roman" w:cs="Times New Roman"/>
                <w:i/>
                <w:iCs/>
                <w:sz w:val="20"/>
                <w:szCs w:val="20"/>
                <w:lang w:val="en-GB"/>
              </w:rPr>
              <w:t>4%</w:t>
            </w:r>
          </w:p>
        </w:tc>
      </w:tr>
    </w:tbl>
    <w:p w14:paraId="3DBBB758" w14:textId="77777777" w:rsidR="00F85797" w:rsidRPr="007504E6" w:rsidRDefault="00F85797" w:rsidP="00F85797">
      <w:pPr>
        <w:spacing w:line="276" w:lineRule="auto"/>
        <w:ind w:firstLine="0"/>
        <w:rPr>
          <w:rFonts w:ascii="Times New Roman" w:hAnsi="Times New Roman" w:cs="Times New Roman"/>
          <w:lang w:val="en-GB"/>
        </w:rPr>
      </w:pPr>
    </w:p>
    <w:p w14:paraId="7AF7A687" w14:textId="51C6FCFC" w:rsidR="00BB4237" w:rsidRPr="007504E6" w:rsidRDefault="00DD320D" w:rsidP="0098042F">
      <w:pPr>
        <w:spacing w:line="240" w:lineRule="auto"/>
        <w:ind w:firstLine="0"/>
        <w:rPr>
          <w:rFonts w:ascii="Times New Roman" w:hAnsi="Times New Roman" w:cs="Times New Roman"/>
          <w:lang w:val="en-GB"/>
        </w:rPr>
      </w:pPr>
      <w:r w:rsidRPr="007504E6">
        <w:rPr>
          <w:rFonts w:ascii="Times New Roman" w:hAnsi="Times New Roman" w:cs="Times New Roman"/>
          <w:lang w:val="en-GB"/>
        </w:rPr>
        <w:t xml:space="preserve">The obtained forecasts indicate that construction costs in 2021 compared to 2020 will increase by a record high of +6.6%, reaching the highest increase in the last nine years. Table 1. In case of </w:t>
      </w:r>
      <w:r w:rsidR="006369E8" w:rsidRPr="007504E6">
        <w:rPr>
          <w:rFonts w:ascii="Times New Roman" w:hAnsi="Times New Roman" w:cs="Times New Roman"/>
          <w:lang w:val="en-GB"/>
        </w:rPr>
        <w:t>unfavourable</w:t>
      </w:r>
      <w:r w:rsidRPr="007504E6">
        <w:rPr>
          <w:rFonts w:ascii="Times New Roman" w:hAnsi="Times New Roman" w:cs="Times New Roman"/>
          <w:lang w:val="en-GB"/>
        </w:rPr>
        <w:t xml:space="preserve"> global situation (logistical problems, high market demand, non-increase of producer capacity, etc.) an increase of 11.4% could also be achieved. In the period from 2022 to 2025, the increase in construction costs will decrease, however, in 2022 the increase is still projected at 5.5% - significantly higher than in the pre-pandemic period. 2023-2025 Over the period 2007-2013, cost growth is expected to return to the average level of the last decade, with an average annual increase of 3.3% per year, which is lower than in 2018 and 2019</w:t>
      </w:r>
      <w:r w:rsidR="0098042F" w:rsidRPr="007504E6">
        <w:rPr>
          <w:rFonts w:ascii="Times New Roman" w:hAnsi="Times New Roman" w:cs="Times New Roman"/>
          <w:lang w:val="en-GB"/>
        </w:rPr>
        <w:t xml:space="preserve">. </w:t>
      </w:r>
    </w:p>
    <w:p w14:paraId="4142D2EF" w14:textId="11BBBFEB" w:rsidR="005F622A" w:rsidRPr="007504E6" w:rsidRDefault="00DD320D" w:rsidP="005F622A">
      <w:pPr>
        <w:pStyle w:val="Parakstszemobjekta"/>
        <w:spacing w:after="0"/>
        <w:jc w:val="right"/>
        <w:rPr>
          <w:rFonts w:ascii="Times New Roman" w:hAnsi="Times New Roman" w:cs="Times New Roman"/>
          <w:lang w:val="en-GB"/>
        </w:rPr>
      </w:pPr>
      <w:r w:rsidRPr="007504E6">
        <w:rPr>
          <w:rFonts w:ascii="Times New Roman" w:hAnsi="Times New Roman" w:cs="Times New Roman"/>
          <w:lang w:val="en-GB"/>
        </w:rPr>
        <w:t>Table</w:t>
      </w:r>
      <w:r w:rsidR="005F622A" w:rsidRPr="007504E6">
        <w:rPr>
          <w:rFonts w:ascii="Times New Roman" w:hAnsi="Times New Roman" w:cs="Times New Roman"/>
          <w:lang w:val="en-GB"/>
        </w:rPr>
        <w:t xml:space="preserve">  </w:t>
      </w:r>
      <w:r w:rsidR="005F622A" w:rsidRPr="007504E6">
        <w:rPr>
          <w:rFonts w:ascii="Times New Roman" w:hAnsi="Times New Roman" w:cs="Times New Roman"/>
          <w:lang w:val="en-GB"/>
        </w:rPr>
        <w:fldChar w:fldCharType="begin"/>
      </w:r>
      <w:r w:rsidR="005F622A" w:rsidRPr="007504E6">
        <w:rPr>
          <w:rFonts w:ascii="Times New Roman" w:hAnsi="Times New Roman" w:cs="Times New Roman"/>
          <w:lang w:val="en-GB"/>
        </w:rPr>
        <w:instrText xml:space="preserve"> SEQ Tab._ \* ARABIC </w:instrText>
      </w:r>
      <w:r w:rsidR="005F622A" w:rsidRPr="007504E6">
        <w:rPr>
          <w:rFonts w:ascii="Times New Roman" w:hAnsi="Times New Roman" w:cs="Times New Roman"/>
          <w:lang w:val="en-GB"/>
        </w:rPr>
        <w:fldChar w:fldCharType="separate"/>
      </w:r>
      <w:r w:rsidR="00D500F7">
        <w:rPr>
          <w:rFonts w:ascii="Times New Roman" w:hAnsi="Times New Roman" w:cs="Times New Roman"/>
          <w:noProof/>
          <w:lang w:val="en-GB"/>
        </w:rPr>
        <w:t>3</w:t>
      </w:r>
      <w:r w:rsidR="005F622A" w:rsidRPr="007504E6">
        <w:rPr>
          <w:rFonts w:ascii="Times New Roman" w:hAnsi="Times New Roman" w:cs="Times New Roman"/>
          <w:noProof/>
          <w:lang w:val="en-GB"/>
        </w:rPr>
        <w:fldChar w:fldCharType="end"/>
      </w:r>
      <w:r w:rsidR="005F622A" w:rsidRPr="007504E6">
        <w:rPr>
          <w:rFonts w:ascii="Times New Roman" w:hAnsi="Times New Roman" w:cs="Times New Roman"/>
          <w:lang w:val="en-GB"/>
        </w:rPr>
        <w:t>.</w:t>
      </w:r>
    </w:p>
    <w:p w14:paraId="1E6EC44B" w14:textId="4FF1311C" w:rsidR="00BB4237" w:rsidRPr="007504E6" w:rsidRDefault="005F622A" w:rsidP="005F622A">
      <w:pPr>
        <w:pStyle w:val="Parakstszemobjekta"/>
        <w:spacing w:after="0"/>
        <w:jc w:val="right"/>
        <w:rPr>
          <w:rFonts w:ascii="Times New Roman" w:hAnsi="Times New Roman" w:cs="Times New Roman"/>
          <w:lang w:val="en-GB"/>
        </w:rPr>
      </w:pPr>
      <w:r w:rsidRPr="007504E6">
        <w:rPr>
          <w:rFonts w:ascii="Times New Roman" w:hAnsi="Times New Roman" w:cs="Times New Roman"/>
          <w:lang w:val="en-GB"/>
        </w:rPr>
        <w:t xml:space="preserve"> </w:t>
      </w:r>
      <w:r w:rsidR="00087BAD" w:rsidRPr="007504E6">
        <w:rPr>
          <w:rFonts w:ascii="Times New Roman" w:hAnsi="Times New Roman" w:cs="Times New Roman"/>
          <w:lang w:val="en-GB"/>
        </w:rPr>
        <w:t>Forecasts of changes in construction costs against the previous year 2021-2025 year</w:t>
      </w:r>
      <w:r w:rsidRPr="007504E6">
        <w:rPr>
          <w:rFonts w:ascii="Times New Roman" w:hAnsi="Times New Roman" w:cs="Times New Roman"/>
          <w:lang w:val="en-GB"/>
        </w:rPr>
        <w:t>.</w:t>
      </w:r>
    </w:p>
    <w:tbl>
      <w:tblPr>
        <w:tblStyle w:val="GridTable31"/>
        <w:tblW w:w="9115" w:type="dxa"/>
        <w:tblLook w:val="04A0" w:firstRow="1" w:lastRow="0" w:firstColumn="1" w:lastColumn="0" w:noHBand="0" w:noVBand="1"/>
      </w:tblPr>
      <w:tblGrid>
        <w:gridCol w:w="1344"/>
        <w:gridCol w:w="1345"/>
        <w:gridCol w:w="1842"/>
        <w:gridCol w:w="1843"/>
        <w:gridCol w:w="2741"/>
      </w:tblGrid>
      <w:tr w:rsidR="00BB4237" w:rsidRPr="007504E6" w14:paraId="691899F5" w14:textId="77777777" w:rsidTr="00A57B7B">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9115" w:type="dxa"/>
            <w:gridSpan w:val="5"/>
            <w:hideMark/>
          </w:tcPr>
          <w:p w14:paraId="677AB257" w14:textId="17D48B50" w:rsidR="00BB4237" w:rsidRPr="007504E6" w:rsidRDefault="00087BAD" w:rsidP="00A57B7B">
            <w:pPr>
              <w:jc w:val="center"/>
              <w:rPr>
                <w:rFonts w:ascii="Times New Roman" w:hAnsi="Times New Roman" w:cs="Times New Roman"/>
                <w:lang w:val="en-GB"/>
              </w:rPr>
            </w:pPr>
            <w:r w:rsidRPr="007504E6">
              <w:rPr>
                <w:rFonts w:ascii="Times New Roman" w:hAnsi="Times New Roman" w:cs="Times New Roman"/>
                <w:lang w:val="en-GB"/>
              </w:rPr>
              <w:t xml:space="preserve">Forecasts of changes in construction COSTS compared to the previous year 2021-2025. </w:t>
            </w:r>
          </w:p>
        </w:tc>
      </w:tr>
      <w:tr w:rsidR="00BB3C58" w:rsidRPr="007504E6" w14:paraId="5BF1B391" w14:textId="77777777" w:rsidTr="002B56B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085142" w14:textId="04A55066" w:rsidR="00BB3C58" w:rsidRPr="007504E6" w:rsidRDefault="00BB3C58" w:rsidP="00BB3C58">
            <w:pPr>
              <w:ind w:firstLine="0"/>
              <w:jc w:val="center"/>
              <w:rPr>
                <w:rFonts w:ascii="Times New Roman" w:hAnsi="Times New Roman" w:cs="Times New Roman"/>
                <w:lang w:val="en-GB"/>
              </w:rPr>
            </w:pPr>
            <w:r w:rsidRPr="007504E6">
              <w:rPr>
                <w:rFonts w:ascii="Times New Roman" w:hAnsi="Times New Roman" w:cs="Times New Roman"/>
                <w:lang w:val="en-GB"/>
              </w:rPr>
              <w:t>2019</w:t>
            </w:r>
          </w:p>
        </w:tc>
        <w:tc>
          <w:tcPr>
            <w:tcW w:w="1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2227D1" w14:textId="7D6772A0" w:rsidR="00BB3C58" w:rsidRPr="007504E6" w:rsidRDefault="00BB3C58" w:rsidP="00BB3C5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2020</w:t>
            </w:r>
          </w:p>
        </w:tc>
        <w:tc>
          <w:tcPr>
            <w:tcW w:w="1842" w:type="dxa"/>
            <w:tcBorders>
              <w:left w:val="single" w:sz="4" w:space="0" w:color="auto"/>
            </w:tcBorders>
            <w:shd w:val="clear" w:color="auto" w:fill="E2EFD9" w:themeFill="accent6" w:themeFillTint="33"/>
            <w:hideMark/>
          </w:tcPr>
          <w:p w14:paraId="3C5E6AC5" w14:textId="5C918BA3" w:rsidR="00BB3C58" w:rsidRPr="007504E6" w:rsidRDefault="00BB3C58" w:rsidP="00BB3C5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7504E6">
              <w:rPr>
                <w:lang w:val="en-GB"/>
              </w:rPr>
              <w:t>Forecast 2021</w:t>
            </w:r>
          </w:p>
        </w:tc>
        <w:tc>
          <w:tcPr>
            <w:tcW w:w="1843" w:type="dxa"/>
            <w:shd w:val="clear" w:color="auto" w:fill="E2EFD9" w:themeFill="accent6" w:themeFillTint="33"/>
            <w:hideMark/>
          </w:tcPr>
          <w:p w14:paraId="0D32EC59" w14:textId="5AD46D0B" w:rsidR="00BB3C58" w:rsidRPr="007504E6" w:rsidRDefault="00BB3C58" w:rsidP="00BB3C5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7504E6">
              <w:rPr>
                <w:lang w:val="en-GB"/>
              </w:rPr>
              <w:t>Forecast 2022</w:t>
            </w:r>
          </w:p>
        </w:tc>
        <w:tc>
          <w:tcPr>
            <w:tcW w:w="2741" w:type="dxa"/>
            <w:shd w:val="clear" w:color="auto" w:fill="E2EFD9" w:themeFill="accent6" w:themeFillTint="33"/>
            <w:hideMark/>
          </w:tcPr>
          <w:p w14:paraId="75A1D192" w14:textId="1275EE69" w:rsidR="00BB3C58" w:rsidRPr="007504E6" w:rsidRDefault="00BB3C58" w:rsidP="00BB3C5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7504E6">
              <w:rPr>
                <w:lang w:val="en-GB"/>
              </w:rPr>
              <w:t>Assessment 2023-2025</w:t>
            </w:r>
          </w:p>
        </w:tc>
      </w:tr>
      <w:tr w:rsidR="00BB4237" w:rsidRPr="007504E6" w14:paraId="4BC3984B" w14:textId="77777777" w:rsidTr="00B31270">
        <w:trPr>
          <w:trHeight w:val="340"/>
        </w:trPr>
        <w:tc>
          <w:tcPr>
            <w:cnfStyle w:val="001000000000" w:firstRow="0" w:lastRow="0" w:firstColumn="1" w:lastColumn="0" w:oddVBand="0" w:evenVBand="0" w:oddHBand="0" w:evenHBand="0" w:firstRowFirstColumn="0" w:firstRowLastColumn="0" w:lastRowFirstColumn="0" w:lastRowLastColumn="0"/>
            <w:tcW w:w="13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82A04F" w14:textId="040F1610" w:rsidR="00BB4237" w:rsidRPr="007504E6" w:rsidRDefault="00BB4237" w:rsidP="00B31270">
            <w:pPr>
              <w:ind w:firstLine="0"/>
              <w:jc w:val="center"/>
              <w:rPr>
                <w:rFonts w:ascii="Times New Roman" w:hAnsi="Times New Roman" w:cs="Times New Roman"/>
                <w:lang w:val="en-GB"/>
              </w:rPr>
            </w:pPr>
            <w:r w:rsidRPr="007504E6">
              <w:rPr>
                <w:rFonts w:ascii="Times New Roman" w:hAnsi="Times New Roman" w:cs="Times New Roman"/>
                <w:lang w:val="en-GB"/>
              </w:rPr>
              <w:t>+4</w:t>
            </w:r>
            <w:r w:rsidR="00BB3C58" w:rsidRPr="007504E6">
              <w:rPr>
                <w:rFonts w:ascii="Times New Roman" w:hAnsi="Times New Roman" w:cs="Times New Roman"/>
                <w:lang w:val="en-GB"/>
              </w:rPr>
              <w:t>.</w:t>
            </w:r>
            <w:r w:rsidRPr="007504E6">
              <w:rPr>
                <w:rFonts w:ascii="Times New Roman" w:hAnsi="Times New Roman" w:cs="Times New Roman"/>
                <w:lang w:val="en-GB"/>
              </w:rPr>
              <w:t>1%</w:t>
            </w:r>
          </w:p>
        </w:tc>
        <w:tc>
          <w:tcPr>
            <w:tcW w:w="1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4CE059" w14:textId="6A7A2263" w:rsidR="00BB4237" w:rsidRPr="007504E6" w:rsidRDefault="00BB4237" w:rsidP="00B31270">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+1</w:t>
            </w:r>
            <w:r w:rsidR="00BB3C58" w:rsidRPr="007504E6">
              <w:rPr>
                <w:rFonts w:ascii="Times New Roman" w:hAnsi="Times New Roman" w:cs="Times New Roman"/>
                <w:lang w:val="en-GB"/>
              </w:rPr>
              <w:t>.</w:t>
            </w:r>
            <w:r w:rsidRPr="007504E6">
              <w:rPr>
                <w:rFonts w:ascii="Times New Roman" w:hAnsi="Times New Roman" w:cs="Times New Roman"/>
                <w:lang w:val="en-GB"/>
              </w:rPr>
              <w:t>3%</w:t>
            </w:r>
          </w:p>
        </w:tc>
        <w:tc>
          <w:tcPr>
            <w:tcW w:w="1842" w:type="dxa"/>
            <w:tcBorders>
              <w:left w:val="single" w:sz="4" w:space="0" w:color="auto"/>
            </w:tcBorders>
            <w:vAlign w:val="center"/>
            <w:hideMark/>
          </w:tcPr>
          <w:p w14:paraId="48479484" w14:textId="77777777" w:rsidR="00BB4237" w:rsidRPr="007504E6" w:rsidRDefault="00BB4237" w:rsidP="00B312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tc>
        <w:tc>
          <w:tcPr>
            <w:tcW w:w="1843" w:type="dxa"/>
            <w:vAlign w:val="center"/>
            <w:hideMark/>
          </w:tcPr>
          <w:p w14:paraId="7D197227" w14:textId="77777777" w:rsidR="00BB4237" w:rsidRPr="007504E6" w:rsidRDefault="00BB4237" w:rsidP="00B312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tc>
        <w:tc>
          <w:tcPr>
            <w:tcW w:w="2741" w:type="dxa"/>
            <w:vAlign w:val="center"/>
            <w:hideMark/>
          </w:tcPr>
          <w:p w14:paraId="543D3914" w14:textId="77777777" w:rsidR="00BB4237" w:rsidRPr="007504E6" w:rsidRDefault="00BB4237" w:rsidP="00B312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tc>
      </w:tr>
      <w:tr w:rsidR="00BB3C58" w:rsidRPr="007504E6" w14:paraId="056FE348" w14:textId="77777777" w:rsidTr="00B3127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89" w:type="dxa"/>
            <w:gridSpan w:val="2"/>
            <w:tcBorders>
              <w:top w:val="single" w:sz="4" w:space="0" w:color="auto"/>
            </w:tcBorders>
            <w:vAlign w:val="center"/>
            <w:hideMark/>
          </w:tcPr>
          <w:p w14:paraId="29B661E5" w14:textId="0B6FB176" w:rsidR="00BB3C58" w:rsidRPr="007504E6" w:rsidRDefault="00BB3C58" w:rsidP="00BB3C58">
            <w:pPr>
              <w:ind w:firstLine="0"/>
              <w:jc w:val="right"/>
              <w:rPr>
                <w:rFonts w:ascii="Times New Roman" w:hAnsi="Times New Roman" w:cs="Times New Roman"/>
                <w:lang w:val="en-GB"/>
              </w:rPr>
            </w:pPr>
            <w:r w:rsidRPr="007504E6">
              <w:rPr>
                <w:rFonts w:ascii="Times New Roman" w:hAnsi="Times New Roman" w:cs="Times New Roman"/>
                <w:lang w:val="en-GB"/>
              </w:rPr>
              <w:t xml:space="preserve">Combined forecast </w:t>
            </w:r>
            <w:r w:rsidRPr="007504E6">
              <w:rPr>
                <w:rFonts w:ascii="Times New Roman" w:hAnsi="Times New Roman" w:cs="Times New Roman"/>
                <w:lang w:val="en-GB"/>
              </w:rPr>
              <w:sym w:font="Wingdings" w:char="F0E0"/>
            </w:r>
          </w:p>
        </w:tc>
        <w:tc>
          <w:tcPr>
            <w:tcW w:w="1842" w:type="dxa"/>
            <w:shd w:val="clear" w:color="auto" w:fill="E2EFD9" w:themeFill="accent6" w:themeFillTint="33"/>
            <w:vAlign w:val="center"/>
            <w:hideMark/>
          </w:tcPr>
          <w:p w14:paraId="54D65034" w14:textId="391251DF" w:rsidR="00BB3C58" w:rsidRPr="007504E6" w:rsidRDefault="00BB3C58" w:rsidP="00BB3C5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n-GB"/>
              </w:rPr>
            </w:pPr>
            <w:r w:rsidRPr="007504E6">
              <w:rPr>
                <w:rFonts w:ascii="Times New Roman" w:hAnsi="Times New Roman" w:cs="Times New Roman"/>
                <w:b/>
                <w:bCs/>
                <w:sz w:val="24"/>
                <w:szCs w:val="24"/>
                <w:lang w:val="en-GB"/>
              </w:rPr>
              <w:t>+6.6%</w:t>
            </w:r>
          </w:p>
        </w:tc>
        <w:tc>
          <w:tcPr>
            <w:tcW w:w="1843" w:type="dxa"/>
            <w:shd w:val="clear" w:color="auto" w:fill="E2EFD9" w:themeFill="accent6" w:themeFillTint="33"/>
            <w:vAlign w:val="center"/>
            <w:hideMark/>
          </w:tcPr>
          <w:p w14:paraId="3CCFB5B4" w14:textId="1C2636AC" w:rsidR="00BB3C58" w:rsidRPr="007504E6" w:rsidRDefault="00BB3C58" w:rsidP="00BB3C5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+5.6%</w:t>
            </w:r>
          </w:p>
        </w:tc>
        <w:tc>
          <w:tcPr>
            <w:tcW w:w="2741" w:type="dxa"/>
            <w:shd w:val="clear" w:color="auto" w:fill="E2EFD9" w:themeFill="accent6" w:themeFillTint="33"/>
            <w:vAlign w:val="center"/>
            <w:hideMark/>
          </w:tcPr>
          <w:p w14:paraId="077A99EE" w14:textId="31FBDF8D" w:rsidR="00BB3C58" w:rsidRPr="007504E6" w:rsidRDefault="00BB3C58" w:rsidP="00BB3C5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+3.7% to +2.6%</w:t>
            </w:r>
          </w:p>
        </w:tc>
      </w:tr>
      <w:tr w:rsidR="00BB3C58" w:rsidRPr="007504E6" w14:paraId="100B7DC0" w14:textId="77777777" w:rsidTr="00B31270">
        <w:trPr>
          <w:trHeight w:val="340"/>
        </w:trPr>
        <w:tc>
          <w:tcPr>
            <w:cnfStyle w:val="001000000000" w:firstRow="0" w:lastRow="0" w:firstColumn="1" w:lastColumn="0" w:oddVBand="0" w:evenVBand="0" w:oddHBand="0" w:evenHBand="0" w:firstRowFirstColumn="0" w:firstRowLastColumn="0" w:lastRowFirstColumn="0" w:lastRowLastColumn="0"/>
            <w:tcW w:w="2689" w:type="dxa"/>
            <w:gridSpan w:val="2"/>
            <w:vAlign w:val="center"/>
            <w:hideMark/>
          </w:tcPr>
          <w:p w14:paraId="306EEDE4" w14:textId="754E28D0" w:rsidR="00BB3C58" w:rsidRPr="007504E6" w:rsidRDefault="00BB3C58" w:rsidP="00BB3C58">
            <w:pPr>
              <w:ind w:firstLine="0"/>
              <w:jc w:val="right"/>
              <w:rPr>
                <w:rFonts w:ascii="Times New Roman" w:hAnsi="Times New Roman" w:cs="Times New Roman"/>
                <w:sz w:val="20"/>
                <w:szCs w:val="20"/>
                <w:lang w:val="en-GB"/>
              </w:rPr>
            </w:pPr>
            <w:r w:rsidRPr="007504E6">
              <w:rPr>
                <w:rFonts w:ascii="Times New Roman" w:hAnsi="Times New Roman" w:cs="Times New Roman"/>
                <w:sz w:val="20"/>
                <w:szCs w:val="20"/>
                <w:lang w:val="en-GB"/>
              </w:rPr>
              <w:t xml:space="preserve">Expert forecast </w:t>
            </w:r>
            <w:r w:rsidRPr="007504E6">
              <w:rPr>
                <w:rFonts w:ascii="Times New Roman" w:hAnsi="Times New Roman" w:cs="Times New Roman"/>
                <w:sz w:val="20"/>
                <w:szCs w:val="20"/>
                <w:lang w:val="en-GB"/>
              </w:rPr>
              <w:sym w:font="Wingdings" w:char="F0E0"/>
            </w:r>
          </w:p>
        </w:tc>
        <w:tc>
          <w:tcPr>
            <w:tcW w:w="1842" w:type="dxa"/>
            <w:vAlign w:val="center"/>
            <w:hideMark/>
          </w:tcPr>
          <w:p w14:paraId="2AA9082A" w14:textId="15DD742D" w:rsidR="00BB3C58" w:rsidRPr="007504E6" w:rsidRDefault="00BB3C58" w:rsidP="00BB3C5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7504E6">
              <w:rPr>
                <w:rFonts w:ascii="Times New Roman" w:hAnsi="Times New Roman" w:cs="Times New Roman"/>
                <w:sz w:val="20"/>
                <w:szCs w:val="20"/>
                <w:lang w:val="en-GB"/>
              </w:rPr>
              <w:t>+11.4%</w:t>
            </w:r>
          </w:p>
        </w:tc>
        <w:tc>
          <w:tcPr>
            <w:tcW w:w="1843" w:type="dxa"/>
            <w:vAlign w:val="center"/>
            <w:hideMark/>
          </w:tcPr>
          <w:p w14:paraId="31AAFFE9" w14:textId="0AFC4084" w:rsidR="00BB3C58" w:rsidRPr="007504E6" w:rsidRDefault="00BB3C58" w:rsidP="00BB3C5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7504E6">
              <w:rPr>
                <w:rFonts w:ascii="Times New Roman" w:hAnsi="Times New Roman" w:cs="Times New Roman"/>
                <w:sz w:val="20"/>
                <w:szCs w:val="20"/>
                <w:lang w:val="en-GB"/>
              </w:rPr>
              <w:t>+9.5%</w:t>
            </w:r>
          </w:p>
        </w:tc>
        <w:tc>
          <w:tcPr>
            <w:tcW w:w="2741" w:type="dxa"/>
            <w:vAlign w:val="center"/>
            <w:hideMark/>
          </w:tcPr>
          <w:p w14:paraId="08286085" w14:textId="3F2B972F" w:rsidR="00BB3C58" w:rsidRPr="007504E6" w:rsidRDefault="00BB3C58" w:rsidP="00BB3C5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7504E6">
              <w:rPr>
                <w:rFonts w:ascii="Times New Roman" w:hAnsi="Times New Roman" w:cs="Times New Roman"/>
                <w:sz w:val="20"/>
                <w:szCs w:val="20"/>
                <w:lang w:val="en-GB"/>
              </w:rPr>
              <w:t>+5.7% to +3.6%</w:t>
            </w:r>
          </w:p>
        </w:tc>
      </w:tr>
    </w:tbl>
    <w:p w14:paraId="58346781" w14:textId="77777777" w:rsidR="0016425F" w:rsidRPr="007504E6" w:rsidRDefault="0016425F" w:rsidP="0016425F">
      <w:pPr>
        <w:pStyle w:val="Paraststmeklis"/>
        <w:spacing w:before="0" w:beforeAutospacing="0" w:after="0" w:afterAutospacing="0" w:line="253" w:lineRule="atLeast"/>
        <w:jc w:val="both"/>
        <w:rPr>
          <w:color w:val="000000"/>
          <w:sz w:val="22"/>
          <w:szCs w:val="22"/>
          <w:lang w:val="en-GB"/>
        </w:rPr>
      </w:pPr>
    </w:p>
    <w:p w14:paraId="016BB2C1" w14:textId="5357E4C1" w:rsidR="0016425F" w:rsidRPr="007504E6" w:rsidRDefault="0016425F" w:rsidP="0016425F">
      <w:pPr>
        <w:pStyle w:val="Paraststmeklis"/>
        <w:spacing w:before="0" w:beforeAutospacing="0" w:after="0" w:afterAutospacing="0" w:line="253" w:lineRule="atLeast"/>
        <w:jc w:val="both"/>
        <w:rPr>
          <w:color w:val="000000"/>
          <w:sz w:val="22"/>
          <w:szCs w:val="22"/>
          <w:lang w:val="en-GB"/>
        </w:rPr>
      </w:pPr>
      <w:r w:rsidRPr="007504E6">
        <w:rPr>
          <w:color w:val="000000"/>
          <w:sz w:val="22"/>
          <w:szCs w:val="22"/>
          <w:lang w:val="en-GB"/>
        </w:rPr>
        <w:t>The main drivers of growth in the construction industry in 2021-2025. The following were identified in 2006: (1) </w:t>
      </w:r>
      <w:r w:rsidRPr="007504E6">
        <w:rPr>
          <w:b/>
          <w:bCs/>
          <w:color w:val="000000"/>
          <w:sz w:val="22"/>
          <w:szCs w:val="22"/>
          <w:lang w:val="en-GB"/>
        </w:rPr>
        <w:t xml:space="preserve">economic recovery from the </w:t>
      </w:r>
      <w:r w:rsidR="00BB3C58" w:rsidRPr="007504E6">
        <w:rPr>
          <w:b/>
          <w:bCs/>
          <w:color w:val="000000"/>
          <w:sz w:val="22"/>
          <w:szCs w:val="22"/>
          <w:lang w:val="en-GB"/>
        </w:rPr>
        <w:t>pandemic,</w:t>
      </w:r>
      <w:r w:rsidRPr="007504E6">
        <w:rPr>
          <w:color w:val="000000"/>
          <w:sz w:val="22"/>
          <w:szCs w:val="22"/>
          <w:lang w:val="en-GB"/>
        </w:rPr>
        <w:t> (2) </w:t>
      </w:r>
      <w:r w:rsidRPr="007504E6">
        <w:rPr>
          <w:b/>
          <w:bCs/>
          <w:color w:val="000000"/>
          <w:sz w:val="22"/>
          <w:szCs w:val="22"/>
          <w:lang w:val="en-GB"/>
        </w:rPr>
        <w:t>national and EU support for economic recovery, </w:t>
      </w:r>
      <w:r w:rsidRPr="007504E6">
        <w:rPr>
          <w:color w:val="000000"/>
          <w:sz w:val="22"/>
          <w:szCs w:val="22"/>
          <w:lang w:val="en-GB"/>
        </w:rPr>
        <w:t>and (3) </w:t>
      </w:r>
      <w:r w:rsidRPr="007504E6">
        <w:rPr>
          <w:b/>
          <w:bCs/>
          <w:color w:val="000000"/>
          <w:sz w:val="22"/>
          <w:szCs w:val="22"/>
          <w:lang w:val="en-GB"/>
        </w:rPr>
        <w:t xml:space="preserve">major infrastructure </w:t>
      </w:r>
      <w:r w:rsidR="00BB3C58" w:rsidRPr="007504E6">
        <w:rPr>
          <w:b/>
          <w:bCs/>
          <w:color w:val="000000"/>
          <w:sz w:val="22"/>
          <w:szCs w:val="22"/>
          <w:lang w:val="en-GB"/>
        </w:rPr>
        <w:t>projects.</w:t>
      </w:r>
      <w:r w:rsidRPr="007504E6">
        <w:rPr>
          <w:color w:val="000000"/>
          <w:sz w:val="22"/>
          <w:szCs w:val="22"/>
          <w:lang w:val="en-GB"/>
        </w:rPr>
        <w:t> In turn, the costs of construction materials are most influenced by the average annual </w:t>
      </w:r>
      <w:r w:rsidRPr="007504E6">
        <w:rPr>
          <w:b/>
          <w:bCs/>
          <w:color w:val="000000"/>
          <w:sz w:val="22"/>
          <w:szCs w:val="22"/>
          <w:lang w:val="en-GB"/>
        </w:rPr>
        <w:t>price </w:t>
      </w:r>
      <w:r w:rsidRPr="007504E6">
        <w:rPr>
          <w:color w:val="000000"/>
          <w:sz w:val="22"/>
          <w:szCs w:val="22"/>
          <w:lang w:val="en-GB"/>
        </w:rPr>
        <w:t>of </w:t>
      </w:r>
      <w:r w:rsidRPr="007504E6">
        <w:rPr>
          <w:b/>
          <w:bCs/>
          <w:color w:val="000000"/>
          <w:sz w:val="22"/>
          <w:szCs w:val="22"/>
          <w:lang w:val="en-GB"/>
        </w:rPr>
        <w:t xml:space="preserve">metal </w:t>
      </w:r>
      <w:r w:rsidR="00BB3C58" w:rsidRPr="007504E6">
        <w:rPr>
          <w:b/>
          <w:bCs/>
          <w:color w:val="000000"/>
          <w:sz w:val="22"/>
          <w:szCs w:val="22"/>
          <w:lang w:val="en-GB"/>
        </w:rPr>
        <w:t>products,</w:t>
      </w:r>
      <w:r w:rsidRPr="007504E6">
        <w:rPr>
          <w:color w:val="000000"/>
          <w:sz w:val="22"/>
          <w:szCs w:val="22"/>
          <w:lang w:val="en-GB"/>
        </w:rPr>
        <w:t xml:space="preserve"> the </w:t>
      </w:r>
      <w:r w:rsidRPr="007504E6">
        <w:rPr>
          <w:b/>
          <w:bCs/>
          <w:color w:val="000000"/>
          <w:sz w:val="22"/>
          <w:szCs w:val="22"/>
          <w:lang w:val="en-GB"/>
        </w:rPr>
        <w:t>volume </w:t>
      </w:r>
      <w:r w:rsidRPr="007504E6">
        <w:rPr>
          <w:color w:val="000000"/>
          <w:sz w:val="22"/>
          <w:szCs w:val="22"/>
          <w:lang w:val="en-GB"/>
        </w:rPr>
        <w:t>of </w:t>
      </w:r>
      <w:r w:rsidRPr="007504E6">
        <w:rPr>
          <w:b/>
          <w:bCs/>
          <w:color w:val="000000"/>
          <w:sz w:val="22"/>
          <w:szCs w:val="22"/>
          <w:lang w:val="en-GB"/>
        </w:rPr>
        <w:t>construction in Latvia </w:t>
      </w:r>
      <w:r w:rsidRPr="007504E6">
        <w:rPr>
          <w:color w:val="000000"/>
          <w:sz w:val="22"/>
          <w:szCs w:val="22"/>
          <w:lang w:val="en-GB"/>
        </w:rPr>
        <w:t>and the </w:t>
      </w:r>
      <w:r w:rsidRPr="007504E6">
        <w:rPr>
          <w:b/>
          <w:bCs/>
          <w:color w:val="000000"/>
          <w:sz w:val="22"/>
          <w:szCs w:val="22"/>
          <w:lang w:val="en-GB"/>
        </w:rPr>
        <w:t>average annual price of timber</w:t>
      </w:r>
      <w:r w:rsidRPr="007504E6">
        <w:rPr>
          <w:color w:val="000000"/>
          <w:sz w:val="22"/>
          <w:szCs w:val="22"/>
          <w:lang w:val="en-GB"/>
        </w:rPr>
        <w:t>.</w:t>
      </w:r>
    </w:p>
    <w:p w14:paraId="1BB55235" w14:textId="77777777" w:rsidR="0016425F" w:rsidRPr="007504E6" w:rsidRDefault="0016425F" w:rsidP="0016425F">
      <w:pPr>
        <w:pStyle w:val="Paraststmeklis"/>
        <w:spacing w:before="0" w:beforeAutospacing="0" w:after="0" w:afterAutospacing="0"/>
        <w:jc w:val="both"/>
        <w:rPr>
          <w:color w:val="000000"/>
          <w:sz w:val="27"/>
          <w:szCs w:val="27"/>
          <w:lang w:val="en-GB"/>
        </w:rPr>
      </w:pPr>
      <w:r w:rsidRPr="007504E6">
        <w:rPr>
          <w:color w:val="000000"/>
          <w:sz w:val="22"/>
          <w:szCs w:val="22"/>
          <w:lang w:val="en-GB"/>
        </w:rPr>
        <w:t> </w:t>
      </w:r>
    </w:p>
    <w:p w14:paraId="161F88A9" w14:textId="7188043F" w:rsidR="0016425F" w:rsidRPr="007504E6" w:rsidRDefault="00326A3D" w:rsidP="0016425F">
      <w:pPr>
        <w:pStyle w:val="Paraststmeklis"/>
        <w:spacing w:before="0" w:beforeAutospacing="0" w:after="0" w:afterAutospacing="0"/>
        <w:jc w:val="both"/>
        <w:rPr>
          <w:color w:val="000000"/>
          <w:sz w:val="27"/>
          <w:szCs w:val="27"/>
          <w:lang w:val="en-GB"/>
        </w:rPr>
      </w:pPr>
      <w:r w:rsidRPr="007504E6">
        <w:rPr>
          <w:color w:val="000000"/>
          <w:sz w:val="22"/>
          <w:szCs w:val="22"/>
          <w:lang w:val="en-GB"/>
        </w:rPr>
        <w:t>Based on the</w:t>
      </w:r>
      <w:r w:rsidR="0016425F" w:rsidRPr="007504E6">
        <w:rPr>
          <w:color w:val="000000"/>
          <w:sz w:val="22"/>
          <w:szCs w:val="22"/>
          <w:lang w:val="en-GB"/>
        </w:rPr>
        <w:t xml:space="preserve"> information collected and dynamic assessments from 2020 to 2021, the construction industry </w:t>
      </w:r>
      <w:r w:rsidR="00D22D00" w:rsidRPr="007504E6">
        <w:rPr>
          <w:color w:val="000000"/>
          <w:sz w:val="22"/>
          <w:szCs w:val="22"/>
          <w:lang w:val="en-GB"/>
        </w:rPr>
        <w:t xml:space="preserve">shows some </w:t>
      </w:r>
      <w:r w:rsidR="0016425F" w:rsidRPr="007504E6">
        <w:rPr>
          <w:color w:val="000000"/>
          <w:sz w:val="22"/>
          <w:szCs w:val="22"/>
          <w:lang w:val="en-GB"/>
        </w:rPr>
        <w:t>overheating risks, but these risks are substantially lower than in 2006 and the 2008.</w:t>
      </w:r>
      <w:r w:rsidR="003338C6" w:rsidRPr="007504E6">
        <w:rPr>
          <w:color w:val="000000"/>
          <w:sz w:val="22"/>
          <w:szCs w:val="22"/>
          <w:lang w:val="en-GB"/>
        </w:rPr>
        <w:t xml:space="preserve"> </w:t>
      </w:r>
      <w:r w:rsidR="0016425F" w:rsidRPr="007504E6">
        <w:rPr>
          <w:color w:val="000000"/>
          <w:sz w:val="22"/>
          <w:szCs w:val="22"/>
          <w:lang w:val="en-GB"/>
        </w:rPr>
        <w:t>If at the end of 2021 the significant short-term jumps in the costs of timber and metal products decrease</w:t>
      </w:r>
      <w:r w:rsidR="00D22D00" w:rsidRPr="007504E6">
        <w:rPr>
          <w:color w:val="000000"/>
          <w:sz w:val="22"/>
          <w:szCs w:val="22"/>
          <w:lang w:val="en-GB"/>
        </w:rPr>
        <w:t>s</w:t>
      </w:r>
      <w:r w:rsidR="0016425F" w:rsidRPr="007504E6">
        <w:rPr>
          <w:color w:val="000000"/>
          <w:sz w:val="22"/>
          <w:szCs w:val="22"/>
          <w:lang w:val="en-GB"/>
        </w:rPr>
        <w:t>, then the dynamics for 2022 is expected to reduce the risk of overheating of construction and a similar trend will continue until 2025</w:t>
      </w:r>
      <w:r w:rsidR="003338C6" w:rsidRPr="007504E6">
        <w:rPr>
          <w:color w:val="000000"/>
          <w:sz w:val="22"/>
          <w:szCs w:val="22"/>
          <w:lang w:val="en-GB"/>
        </w:rPr>
        <w:t xml:space="preserve">. </w:t>
      </w:r>
      <w:r w:rsidR="0016425F" w:rsidRPr="007504E6">
        <w:rPr>
          <w:color w:val="000000"/>
          <w:sz w:val="22"/>
          <w:szCs w:val="22"/>
          <w:lang w:val="en-GB"/>
        </w:rPr>
        <w:t>³</w:t>
      </w:r>
    </w:p>
    <w:p w14:paraId="52CA6C5C" w14:textId="77777777" w:rsidR="0016425F" w:rsidRPr="007504E6" w:rsidRDefault="0016425F" w:rsidP="0016425F">
      <w:pPr>
        <w:pStyle w:val="Paraststmeklis"/>
        <w:spacing w:before="0" w:beforeAutospacing="0" w:after="0" w:afterAutospacing="0"/>
        <w:jc w:val="both"/>
        <w:rPr>
          <w:color w:val="000000"/>
          <w:sz w:val="27"/>
          <w:szCs w:val="27"/>
          <w:lang w:val="en-GB"/>
        </w:rPr>
      </w:pPr>
      <w:r w:rsidRPr="007504E6">
        <w:rPr>
          <w:color w:val="000000"/>
          <w:sz w:val="22"/>
          <w:szCs w:val="22"/>
          <w:lang w:val="en-GB"/>
        </w:rPr>
        <w:t> </w:t>
      </w:r>
    </w:p>
    <w:p w14:paraId="3AABE704" w14:textId="32F0DE5D" w:rsidR="0016425F" w:rsidRPr="007504E6" w:rsidRDefault="0016425F" w:rsidP="0016425F">
      <w:pPr>
        <w:pStyle w:val="Paraststmeklis"/>
        <w:spacing w:before="0" w:beforeAutospacing="0" w:after="0" w:afterAutospacing="0" w:line="253" w:lineRule="atLeast"/>
        <w:jc w:val="both"/>
        <w:rPr>
          <w:color w:val="000000"/>
          <w:sz w:val="22"/>
          <w:szCs w:val="22"/>
          <w:lang w:val="en-GB"/>
        </w:rPr>
      </w:pPr>
      <w:r w:rsidRPr="007504E6">
        <w:rPr>
          <w:color w:val="000000"/>
          <w:sz w:val="22"/>
          <w:szCs w:val="22"/>
          <w:lang w:val="en-GB"/>
        </w:rPr>
        <w:t>Based on the acquired forecasts for the period 2021 to 2025, the</w:t>
      </w:r>
      <w:r w:rsidR="00077F69" w:rsidRPr="007504E6">
        <w:rPr>
          <w:color w:val="000000"/>
          <w:sz w:val="22"/>
          <w:szCs w:val="22"/>
          <w:lang w:val="en-GB"/>
        </w:rPr>
        <w:t xml:space="preserve">re </w:t>
      </w:r>
      <w:r w:rsidRPr="007504E6">
        <w:rPr>
          <w:color w:val="000000"/>
          <w:sz w:val="22"/>
          <w:szCs w:val="22"/>
          <w:lang w:val="en-GB"/>
        </w:rPr>
        <w:t>is a trend to move along the overheating risk limit and then move away from it. In the period from 2020 to 2021, the construction sector is showing relatively high signs of overheating, which manifests itself in an increase in costs faster than an increase in the volume of construction output. In 2021, the risk of overheating is considered to be the highest in the last five years, and in the following years, until 2025, this risk will decrease based on current forecasts. Figure 1.</w:t>
      </w:r>
    </w:p>
    <w:p w14:paraId="78C84F32" w14:textId="4E828D18" w:rsidR="00F41C48" w:rsidRPr="007504E6" w:rsidRDefault="006D675B" w:rsidP="00703E11">
      <w:pPr>
        <w:spacing w:line="276" w:lineRule="auto"/>
        <w:ind w:firstLine="0"/>
        <w:rPr>
          <w:rFonts w:ascii="Times New Roman" w:hAnsi="Times New Roman" w:cs="Times New Roman"/>
          <w:lang w:val="en-GB"/>
        </w:rPr>
      </w:pPr>
      <w:r w:rsidRPr="007504E6">
        <w:rPr>
          <w:rFonts w:ascii="Times New Roman" w:hAnsi="Times New Roman" w:cs="Times New Roman"/>
          <w:lang w:val="en-GB"/>
        </w:rPr>
        <w:t>.</w:t>
      </w:r>
    </w:p>
    <w:p w14:paraId="37931F89" w14:textId="503AFA02" w:rsidR="00F41C48" w:rsidRPr="007504E6" w:rsidRDefault="00C06796" w:rsidP="00F41C48">
      <w:pPr>
        <w:keepNext/>
        <w:spacing w:line="276" w:lineRule="auto"/>
        <w:rPr>
          <w:rFonts w:ascii="Times New Roman" w:hAnsi="Times New Roman" w:cs="Times New Roman"/>
          <w:lang w:val="en-GB"/>
        </w:rPr>
      </w:pPr>
      <w:r w:rsidRPr="007504E6">
        <w:rPr>
          <w:rFonts w:ascii="Times New Roman" w:hAnsi="Times New Roman" w:cs="Times New Roman"/>
          <w:noProof/>
          <w:lang w:val="en-GB"/>
        </w:rPr>
        <w:drawing>
          <wp:inline distT="0" distB="0" distL="0" distR="0" wp14:anchorId="0195F57F" wp14:editId="7570580C">
            <wp:extent cx="5018910" cy="461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25941" cy="4617830"/>
                    </a:xfrm>
                    <a:prstGeom prst="rect">
                      <a:avLst/>
                    </a:prstGeom>
                  </pic:spPr>
                </pic:pic>
              </a:graphicData>
            </a:graphic>
          </wp:inline>
        </w:drawing>
      </w:r>
    </w:p>
    <w:p w14:paraId="3CE084D3" w14:textId="56846E2F" w:rsidR="00F41C48" w:rsidRPr="007504E6" w:rsidRDefault="009745C1" w:rsidP="00757DA1">
      <w:pPr>
        <w:pStyle w:val="Parakstszemobjekta"/>
        <w:jc w:val="center"/>
        <w:rPr>
          <w:rFonts w:ascii="Times New Roman" w:hAnsi="Times New Roman" w:cs="Times New Roman"/>
          <w:lang w:val="en-GB"/>
        </w:rPr>
      </w:pPr>
      <w:r w:rsidRPr="007504E6">
        <w:rPr>
          <w:rFonts w:ascii="Times New Roman" w:hAnsi="Times New Roman" w:cs="Times New Roman"/>
          <w:lang w:val="en-GB"/>
        </w:rPr>
        <w:t>Figure</w:t>
      </w:r>
      <w:r w:rsidR="00F41C48" w:rsidRPr="007504E6">
        <w:rPr>
          <w:rFonts w:ascii="Times New Roman" w:hAnsi="Times New Roman" w:cs="Times New Roman"/>
          <w:lang w:val="en-GB"/>
        </w:rPr>
        <w:t xml:space="preserve"> </w:t>
      </w:r>
      <w:r w:rsidR="00D72075" w:rsidRPr="007504E6">
        <w:rPr>
          <w:rFonts w:ascii="Times New Roman" w:hAnsi="Times New Roman" w:cs="Times New Roman"/>
          <w:lang w:val="en-GB"/>
        </w:rPr>
        <w:fldChar w:fldCharType="begin"/>
      </w:r>
      <w:r w:rsidR="00D72075" w:rsidRPr="007504E6">
        <w:rPr>
          <w:rFonts w:ascii="Times New Roman" w:hAnsi="Times New Roman" w:cs="Times New Roman"/>
          <w:lang w:val="en-GB"/>
        </w:rPr>
        <w:instrText xml:space="preserve"> SEQ Attēls \* ARABIC </w:instrText>
      </w:r>
      <w:r w:rsidR="00D72075" w:rsidRPr="007504E6">
        <w:rPr>
          <w:rFonts w:ascii="Times New Roman" w:hAnsi="Times New Roman" w:cs="Times New Roman"/>
          <w:lang w:val="en-GB"/>
        </w:rPr>
        <w:fldChar w:fldCharType="separate"/>
      </w:r>
      <w:r w:rsidR="00D500F7">
        <w:rPr>
          <w:rFonts w:ascii="Times New Roman" w:hAnsi="Times New Roman" w:cs="Times New Roman"/>
          <w:noProof/>
          <w:lang w:val="en-GB"/>
        </w:rPr>
        <w:t>1</w:t>
      </w:r>
      <w:r w:rsidR="00D72075" w:rsidRPr="007504E6">
        <w:rPr>
          <w:rFonts w:ascii="Times New Roman" w:hAnsi="Times New Roman" w:cs="Times New Roman"/>
          <w:noProof/>
          <w:lang w:val="en-GB"/>
        </w:rPr>
        <w:fldChar w:fldCharType="end"/>
      </w:r>
      <w:r w:rsidR="00F41C48" w:rsidRPr="007504E6">
        <w:rPr>
          <w:rFonts w:ascii="Times New Roman" w:hAnsi="Times New Roman" w:cs="Times New Roman"/>
          <w:lang w:val="en-GB"/>
        </w:rPr>
        <w:t xml:space="preserve">. </w:t>
      </w:r>
      <w:r w:rsidRPr="007504E6">
        <w:rPr>
          <w:rFonts w:ascii="Times New Roman" w:hAnsi="Times New Roman" w:cs="Times New Roman"/>
          <w:lang w:val="en-GB"/>
        </w:rPr>
        <w:t>Simulation of overheating of the construction industry at different variants of changes in the volume and cost of construction output by extrapolating expert estimates, forecasts and the situation of the previous recession in the period from 2005 to 2025. The years are given according to the combined forecast</w:t>
      </w:r>
      <w:r w:rsidR="00F41C48" w:rsidRPr="007504E6">
        <w:rPr>
          <w:rFonts w:ascii="Times New Roman" w:hAnsi="Times New Roman" w:cs="Times New Roman"/>
          <w:lang w:val="en-GB"/>
        </w:rPr>
        <w:t>.</w:t>
      </w:r>
    </w:p>
    <w:p w14:paraId="0C5454AB" w14:textId="7F3FB1B6" w:rsidR="00F41C48" w:rsidRPr="007504E6" w:rsidRDefault="00B4313F" w:rsidP="00F41C48">
      <w:pPr>
        <w:spacing w:line="276" w:lineRule="auto"/>
        <w:ind w:firstLine="0"/>
        <w:rPr>
          <w:rFonts w:ascii="Times New Roman" w:hAnsi="Times New Roman" w:cs="Times New Roman"/>
          <w:lang w:val="en-GB"/>
        </w:rPr>
      </w:pPr>
      <w:r w:rsidRPr="007504E6">
        <w:rPr>
          <w:rFonts w:ascii="Times New Roman" w:hAnsi="Times New Roman" w:cs="Times New Roman"/>
          <w:lang w:val="en-GB"/>
        </w:rPr>
        <w:t xml:space="preserve">One of the most significant risks that could lead the construction industry deeper into the overheating zone is if construction material costs do not stabilize or fall at the end of 2021 and the total annual increase in construction material costs significantly exceeds the 6.6% increase in construction costs and 7.1% in the combined forecast % increase in the cost of building materials, but this </w:t>
      </w:r>
      <w:r w:rsidR="00F404D2" w:rsidRPr="007504E6">
        <w:rPr>
          <w:rFonts w:ascii="Times New Roman" w:hAnsi="Times New Roman" w:cs="Times New Roman"/>
          <w:lang w:val="en-GB"/>
        </w:rPr>
        <w:t xml:space="preserve">assumption will be verifiable in </w:t>
      </w:r>
      <w:r w:rsidRPr="007504E6">
        <w:rPr>
          <w:rFonts w:ascii="Times New Roman" w:hAnsi="Times New Roman" w:cs="Times New Roman"/>
          <w:lang w:val="en-GB"/>
        </w:rPr>
        <w:t xml:space="preserve">2022, when </w:t>
      </w:r>
      <w:r w:rsidR="00F404D2" w:rsidRPr="007504E6">
        <w:rPr>
          <w:rFonts w:ascii="Times New Roman" w:hAnsi="Times New Roman" w:cs="Times New Roman"/>
          <w:lang w:val="en-GB"/>
        </w:rPr>
        <w:t xml:space="preserve">actual data on construction spending </w:t>
      </w:r>
      <w:r w:rsidRPr="007504E6">
        <w:rPr>
          <w:rFonts w:ascii="Times New Roman" w:hAnsi="Times New Roman" w:cs="Times New Roman"/>
          <w:lang w:val="en-GB"/>
        </w:rPr>
        <w:t>will be available</w:t>
      </w:r>
      <w:r w:rsidR="00F41C48" w:rsidRPr="007504E6">
        <w:rPr>
          <w:rFonts w:ascii="Times New Roman" w:hAnsi="Times New Roman" w:cs="Times New Roman"/>
          <w:lang w:val="en-GB"/>
        </w:rPr>
        <w:t>.</w:t>
      </w:r>
    </w:p>
    <w:p w14:paraId="45EDC7C9" w14:textId="2F13E922" w:rsidR="00932E5A" w:rsidRPr="007504E6" w:rsidRDefault="00932E5A" w:rsidP="00932E5A">
      <w:pPr>
        <w:spacing w:line="240" w:lineRule="auto"/>
        <w:ind w:firstLine="0"/>
        <w:rPr>
          <w:rFonts w:ascii="Times New Roman" w:hAnsi="Times New Roman" w:cs="Times New Roman"/>
          <w:lang w:val="en-GB"/>
        </w:rPr>
      </w:pPr>
    </w:p>
    <w:p w14:paraId="2992234F" w14:textId="77777777" w:rsidR="00932E5A" w:rsidRPr="007504E6" w:rsidRDefault="00932E5A" w:rsidP="00932E5A">
      <w:pPr>
        <w:spacing w:line="240" w:lineRule="auto"/>
        <w:ind w:firstLine="0"/>
        <w:rPr>
          <w:rFonts w:ascii="Times New Roman" w:hAnsi="Times New Roman" w:cs="Times New Roman"/>
          <w:lang w:val="en-GB"/>
        </w:rPr>
      </w:pPr>
    </w:p>
    <w:p w14:paraId="4753389F" w14:textId="77777777" w:rsidR="0075136B" w:rsidRPr="007504E6" w:rsidRDefault="0075136B" w:rsidP="0075136B">
      <w:pPr>
        <w:pStyle w:val="Paraststmeklis"/>
        <w:spacing w:before="0" w:beforeAutospacing="0" w:after="0" w:afterAutospacing="0"/>
        <w:jc w:val="both"/>
        <w:rPr>
          <w:color w:val="000000"/>
          <w:sz w:val="27"/>
          <w:szCs w:val="27"/>
          <w:lang w:val="en-GB"/>
        </w:rPr>
      </w:pPr>
      <w:r w:rsidRPr="007504E6">
        <w:rPr>
          <w:b/>
          <w:bCs/>
          <w:color w:val="000000"/>
          <w:sz w:val="32"/>
          <w:szCs w:val="32"/>
          <w:lang w:val="en-GB"/>
        </w:rPr>
        <w:t>Factors affecting costs. </w:t>
      </w:r>
      <w:proofErr w:type="spellStart"/>
      <w:r w:rsidRPr="007504E6">
        <w:rPr>
          <w:color w:val="000000"/>
          <w:sz w:val="22"/>
          <w:szCs w:val="22"/>
          <w:lang w:val="en-GB"/>
        </w:rPr>
        <w:t>Labor</w:t>
      </w:r>
      <w:proofErr w:type="spellEnd"/>
      <w:r w:rsidRPr="007504E6">
        <w:rPr>
          <w:color w:val="000000"/>
          <w:sz w:val="22"/>
          <w:szCs w:val="22"/>
          <w:lang w:val="en-GB"/>
        </w:rPr>
        <w:t xml:space="preserve"> wages in the construction sector are most significantly affected by the volume of construction in Latvia, as well as the level of </w:t>
      </w:r>
      <w:proofErr w:type="spellStart"/>
      <w:r w:rsidRPr="007504E6">
        <w:rPr>
          <w:color w:val="000000"/>
          <w:sz w:val="22"/>
          <w:szCs w:val="22"/>
          <w:lang w:val="en-GB"/>
        </w:rPr>
        <w:t>labor</w:t>
      </w:r>
      <w:proofErr w:type="spellEnd"/>
      <w:r w:rsidRPr="007504E6">
        <w:rPr>
          <w:color w:val="000000"/>
          <w:sz w:val="22"/>
          <w:szCs w:val="22"/>
          <w:lang w:val="en-GB"/>
        </w:rPr>
        <w:t xml:space="preserve"> wages and the demand of the construction sector in other EU countries.</w:t>
      </w:r>
    </w:p>
    <w:p w14:paraId="5EAFF664" w14:textId="77777777" w:rsidR="0075136B" w:rsidRPr="007504E6" w:rsidRDefault="0075136B" w:rsidP="0075136B">
      <w:pPr>
        <w:pStyle w:val="Paraststmeklis"/>
        <w:spacing w:before="0" w:beforeAutospacing="0" w:after="0" w:afterAutospacing="0"/>
        <w:jc w:val="both"/>
        <w:rPr>
          <w:color w:val="000000"/>
          <w:sz w:val="27"/>
          <w:szCs w:val="27"/>
          <w:lang w:val="en-GB"/>
        </w:rPr>
      </w:pPr>
      <w:r w:rsidRPr="007504E6">
        <w:rPr>
          <w:color w:val="000000"/>
          <w:sz w:val="22"/>
          <w:szCs w:val="22"/>
          <w:lang w:val="en-GB"/>
        </w:rPr>
        <w:t> </w:t>
      </w:r>
    </w:p>
    <w:p w14:paraId="1F8C30DF" w14:textId="35836D30" w:rsidR="0075136B" w:rsidRPr="007504E6" w:rsidRDefault="0075136B" w:rsidP="0075136B">
      <w:pPr>
        <w:pStyle w:val="Paraststmeklis"/>
        <w:spacing w:before="0" w:beforeAutospacing="0" w:after="0" w:afterAutospacing="0"/>
        <w:jc w:val="both"/>
        <w:rPr>
          <w:color w:val="000000"/>
          <w:sz w:val="27"/>
          <w:szCs w:val="27"/>
          <w:lang w:val="en-GB"/>
        </w:rPr>
      </w:pPr>
      <w:r w:rsidRPr="007504E6">
        <w:rPr>
          <w:color w:val="000000"/>
          <w:sz w:val="22"/>
          <w:szCs w:val="22"/>
          <w:lang w:val="en-GB"/>
        </w:rPr>
        <w:t xml:space="preserve">Significant influencing factors are also the level of </w:t>
      </w:r>
      <w:proofErr w:type="spellStart"/>
      <w:r w:rsidRPr="007504E6">
        <w:rPr>
          <w:color w:val="000000"/>
          <w:sz w:val="22"/>
          <w:szCs w:val="22"/>
          <w:lang w:val="en-GB"/>
        </w:rPr>
        <w:t>labor</w:t>
      </w:r>
      <w:proofErr w:type="spellEnd"/>
      <w:r w:rsidRPr="007504E6">
        <w:rPr>
          <w:color w:val="000000"/>
          <w:sz w:val="22"/>
          <w:szCs w:val="22"/>
          <w:lang w:val="en-GB"/>
        </w:rPr>
        <w:t xml:space="preserve"> taxes in Latvia, the demand for EU </w:t>
      </w:r>
      <w:proofErr w:type="spellStart"/>
      <w:r w:rsidRPr="007504E6">
        <w:rPr>
          <w:color w:val="000000"/>
          <w:sz w:val="22"/>
          <w:szCs w:val="22"/>
          <w:lang w:val="en-GB"/>
        </w:rPr>
        <w:t>labor</w:t>
      </w:r>
      <w:proofErr w:type="spellEnd"/>
      <w:r w:rsidRPr="007504E6">
        <w:rPr>
          <w:color w:val="000000"/>
          <w:sz w:val="22"/>
          <w:szCs w:val="22"/>
          <w:lang w:val="en-GB"/>
        </w:rPr>
        <w:t xml:space="preserve"> in the construction sector and the number of </w:t>
      </w:r>
      <w:r w:rsidR="006369E8" w:rsidRPr="007504E6">
        <w:rPr>
          <w:color w:val="000000"/>
          <w:sz w:val="22"/>
          <w:szCs w:val="22"/>
          <w:lang w:val="en-GB"/>
        </w:rPr>
        <w:t>constructions</w:t>
      </w:r>
      <w:r w:rsidRPr="007504E6">
        <w:rPr>
          <w:color w:val="000000"/>
          <w:sz w:val="22"/>
          <w:szCs w:val="22"/>
          <w:lang w:val="en-GB"/>
        </w:rPr>
        <w:t xml:space="preserve"> plans that are being implemented with public funds.</w:t>
      </w:r>
    </w:p>
    <w:p w14:paraId="603BACFB" w14:textId="77777777" w:rsidR="0075136B" w:rsidRPr="007504E6" w:rsidRDefault="0075136B" w:rsidP="0075136B">
      <w:pPr>
        <w:pStyle w:val="Paraststmeklis"/>
        <w:spacing w:before="0" w:beforeAutospacing="0" w:after="0" w:afterAutospacing="0"/>
        <w:jc w:val="both"/>
        <w:rPr>
          <w:color w:val="000000"/>
          <w:sz w:val="27"/>
          <w:szCs w:val="27"/>
          <w:lang w:val="en-GB"/>
        </w:rPr>
      </w:pPr>
      <w:r w:rsidRPr="007504E6">
        <w:rPr>
          <w:color w:val="000000"/>
          <w:sz w:val="22"/>
          <w:szCs w:val="22"/>
          <w:lang w:val="en-GB"/>
        </w:rPr>
        <w:t> </w:t>
      </w:r>
    </w:p>
    <w:p w14:paraId="6C680E72" w14:textId="77777777" w:rsidR="0075136B" w:rsidRPr="007504E6" w:rsidRDefault="0075136B" w:rsidP="0075136B">
      <w:pPr>
        <w:pStyle w:val="Paraststmeklis"/>
        <w:spacing w:before="0" w:beforeAutospacing="0" w:after="0" w:afterAutospacing="0"/>
        <w:jc w:val="both"/>
        <w:rPr>
          <w:color w:val="000000"/>
          <w:sz w:val="27"/>
          <w:szCs w:val="27"/>
          <w:lang w:val="en-GB"/>
        </w:rPr>
      </w:pPr>
      <w:r w:rsidRPr="007504E6">
        <w:rPr>
          <w:color w:val="000000"/>
          <w:sz w:val="22"/>
          <w:szCs w:val="22"/>
          <w:lang w:val="en-GB"/>
        </w:rPr>
        <w:t>Architectural and engineering services, technical testing and analysis sub-sector 's </w:t>
      </w:r>
      <w:proofErr w:type="spellStart"/>
      <w:r w:rsidRPr="007504E6">
        <w:rPr>
          <w:color w:val="000000"/>
          <w:sz w:val="22"/>
          <w:szCs w:val="22"/>
          <w:lang w:val="en-GB"/>
        </w:rPr>
        <w:t>labor</w:t>
      </w:r>
      <w:proofErr w:type="spellEnd"/>
      <w:r w:rsidRPr="007504E6">
        <w:rPr>
          <w:color w:val="000000"/>
          <w:sz w:val="22"/>
          <w:szCs w:val="22"/>
          <w:lang w:val="en-GB"/>
        </w:rPr>
        <w:t xml:space="preserve"> costs significantly affect the construction process of digitization intensity.</w:t>
      </w:r>
    </w:p>
    <w:p w14:paraId="6EFF0F84" w14:textId="77777777" w:rsidR="0075136B" w:rsidRPr="007504E6" w:rsidRDefault="0075136B" w:rsidP="0075136B">
      <w:pPr>
        <w:pStyle w:val="Paraststmeklis"/>
        <w:spacing w:before="0" w:beforeAutospacing="0" w:after="0" w:afterAutospacing="0"/>
        <w:jc w:val="both"/>
        <w:rPr>
          <w:color w:val="000000"/>
          <w:sz w:val="27"/>
          <w:szCs w:val="27"/>
          <w:lang w:val="en-GB"/>
        </w:rPr>
      </w:pPr>
      <w:r w:rsidRPr="007504E6">
        <w:rPr>
          <w:color w:val="000000"/>
          <w:sz w:val="22"/>
          <w:szCs w:val="22"/>
          <w:lang w:val="en-GB"/>
        </w:rPr>
        <w:t> </w:t>
      </w:r>
    </w:p>
    <w:p w14:paraId="4A032E91" w14:textId="77777777" w:rsidR="0075136B" w:rsidRPr="007504E6" w:rsidRDefault="0075136B" w:rsidP="0075136B">
      <w:pPr>
        <w:pStyle w:val="Paraststmeklis"/>
        <w:spacing w:before="0" w:beforeAutospacing="0" w:after="0" w:afterAutospacing="0"/>
        <w:jc w:val="both"/>
        <w:rPr>
          <w:color w:val="000000"/>
          <w:sz w:val="27"/>
          <w:szCs w:val="27"/>
          <w:lang w:val="en-GB"/>
        </w:rPr>
      </w:pPr>
      <w:r w:rsidRPr="007504E6">
        <w:rPr>
          <w:color w:val="000000"/>
          <w:sz w:val="22"/>
          <w:szCs w:val="22"/>
          <w:lang w:val="en-GB"/>
        </w:rPr>
        <w:t xml:space="preserve">The transport construction industry is the most sensitive to the amount (availability) of educated workforce and the second most important factor influencing </w:t>
      </w:r>
      <w:proofErr w:type="spellStart"/>
      <w:r w:rsidRPr="007504E6">
        <w:rPr>
          <w:color w:val="000000"/>
          <w:sz w:val="22"/>
          <w:szCs w:val="22"/>
          <w:lang w:val="en-GB"/>
        </w:rPr>
        <w:t>labor</w:t>
      </w:r>
      <w:proofErr w:type="spellEnd"/>
      <w:r w:rsidRPr="007504E6">
        <w:rPr>
          <w:color w:val="000000"/>
          <w:sz w:val="22"/>
          <w:szCs w:val="22"/>
          <w:lang w:val="en-GB"/>
        </w:rPr>
        <w:t xml:space="preserve"> costs in the sub-sector is the number of learners in construction-related education programs.</w:t>
      </w:r>
    </w:p>
    <w:p w14:paraId="771E5500" w14:textId="77777777" w:rsidR="0075136B" w:rsidRPr="007504E6" w:rsidRDefault="0075136B" w:rsidP="0075136B">
      <w:pPr>
        <w:pStyle w:val="Paraststmeklis"/>
        <w:spacing w:before="0" w:beforeAutospacing="0" w:after="0" w:afterAutospacing="0"/>
        <w:jc w:val="both"/>
        <w:rPr>
          <w:color w:val="000000"/>
          <w:sz w:val="27"/>
          <w:szCs w:val="27"/>
          <w:lang w:val="en-GB"/>
        </w:rPr>
      </w:pPr>
      <w:r w:rsidRPr="007504E6">
        <w:rPr>
          <w:color w:val="000000"/>
          <w:sz w:val="22"/>
          <w:szCs w:val="22"/>
          <w:lang w:val="en-GB"/>
        </w:rPr>
        <w:t> </w:t>
      </w:r>
    </w:p>
    <w:p w14:paraId="61AFE985" w14:textId="77777777" w:rsidR="0075136B" w:rsidRPr="007504E6" w:rsidRDefault="0075136B" w:rsidP="0075136B">
      <w:pPr>
        <w:pStyle w:val="Paraststmeklis"/>
        <w:spacing w:before="0" w:beforeAutospacing="0" w:after="0" w:afterAutospacing="0"/>
        <w:jc w:val="both"/>
        <w:rPr>
          <w:color w:val="000000"/>
          <w:sz w:val="27"/>
          <w:szCs w:val="27"/>
          <w:lang w:val="en-GB"/>
        </w:rPr>
      </w:pPr>
      <w:r w:rsidRPr="007504E6">
        <w:rPr>
          <w:color w:val="000000"/>
          <w:sz w:val="22"/>
          <w:szCs w:val="22"/>
          <w:lang w:val="en-GB"/>
        </w:rPr>
        <w:t>The costs of construction materials are most significantly influenced by the average annual price of metal products, the volume of construction in Latvia and the average annual price of timber. The average fuel price in Latvia significantly affects the construction of transport facilities sub-sector. In turn, epidemiological measures have a significant impact on costs in the sub-sectors of architecture and engineering services, technical testing and analysis, and specialized construction. </w:t>
      </w:r>
    </w:p>
    <w:p w14:paraId="349E6B5C" w14:textId="77777777" w:rsidR="0075136B" w:rsidRPr="007504E6" w:rsidRDefault="0075136B" w:rsidP="0075136B">
      <w:pPr>
        <w:pStyle w:val="Paraststmeklis"/>
        <w:spacing w:before="0" w:beforeAutospacing="0" w:after="0" w:afterAutospacing="0"/>
        <w:jc w:val="both"/>
        <w:rPr>
          <w:color w:val="000000"/>
          <w:sz w:val="27"/>
          <w:szCs w:val="27"/>
          <w:lang w:val="en-GB"/>
        </w:rPr>
      </w:pPr>
      <w:r w:rsidRPr="007504E6">
        <w:rPr>
          <w:color w:val="000000"/>
          <w:sz w:val="22"/>
          <w:szCs w:val="22"/>
          <w:lang w:val="en-GB"/>
        </w:rPr>
        <w:t> </w:t>
      </w:r>
    </w:p>
    <w:p w14:paraId="086272FD" w14:textId="096FFE02" w:rsidR="00F64809" w:rsidRPr="007504E6" w:rsidRDefault="00F64809" w:rsidP="00F64809">
      <w:pPr>
        <w:spacing w:line="240" w:lineRule="auto"/>
        <w:ind w:firstLine="0"/>
        <w:rPr>
          <w:rFonts w:ascii="Times New Roman" w:hAnsi="Times New Roman" w:cs="Times New Roman"/>
          <w:lang w:val="en-GB"/>
        </w:rPr>
      </w:pPr>
      <w:r w:rsidRPr="007504E6">
        <w:rPr>
          <w:rFonts w:ascii="Times New Roman" w:hAnsi="Times New Roman" w:cs="Times New Roman"/>
          <w:lang w:val="en-GB"/>
        </w:rPr>
        <w:t xml:space="preserve">.  </w:t>
      </w:r>
    </w:p>
    <w:p w14:paraId="7558F36E" w14:textId="77777777" w:rsidR="00F64809" w:rsidRPr="007504E6" w:rsidRDefault="00F64809" w:rsidP="00F64809">
      <w:pPr>
        <w:spacing w:line="240" w:lineRule="auto"/>
        <w:ind w:firstLine="0"/>
        <w:rPr>
          <w:rFonts w:ascii="Times New Roman" w:hAnsi="Times New Roman" w:cs="Times New Roman"/>
          <w:lang w:val="en-GB"/>
        </w:rPr>
      </w:pPr>
    </w:p>
    <w:p w14:paraId="30ED2534" w14:textId="005B7915" w:rsidR="00DB6BFA" w:rsidRPr="007504E6" w:rsidRDefault="00DB6BFA" w:rsidP="00F41C48">
      <w:pPr>
        <w:spacing w:line="276" w:lineRule="auto"/>
        <w:ind w:firstLine="0"/>
        <w:rPr>
          <w:rFonts w:ascii="Times New Roman" w:hAnsi="Times New Roman" w:cs="Times New Roman"/>
          <w:lang w:val="en-GB"/>
        </w:rPr>
      </w:pPr>
    </w:p>
    <w:p w14:paraId="4013F034" w14:textId="5040C9C2" w:rsidR="00DB6BFA" w:rsidRPr="007504E6" w:rsidRDefault="007055AA" w:rsidP="00F41C48">
      <w:pPr>
        <w:spacing w:line="276" w:lineRule="auto"/>
        <w:ind w:firstLine="0"/>
        <w:rPr>
          <w:rFonts w:ascii="Times New Roman" w:hAnsi="Times New Roman" w:cs="Times New Roman"/>
          <w:lang w:val="en-GB"/>
        </w:rPr>
      </w:pPr>
      <w:r w:rsidRPr="007504E6">
        <w:rPr>
          <w:rFonts w:ascii="Times New Roman" w:hAnsi="Times New Roman" w:cs="Times New Roman"/>
          <w:noProof/>
          <w:lang w:val="en-GB"/>
        </w:rPr>
        <w:drawing>
          <wp:anchor distT="0" distB="0" distL="114300" distR="114300" simplePos="0" relativeHeight="251732992" behindDoc="0" locked="0" layoutInCell="1" allowOverlap="1" wp14:anchorId="621698A9" wp14:editId="52EE6BF3">
            <wp:simplePos x="0" y="0"/>
            <wp:positionH relativeFrom="margin">
              <wp:align>left</wp:align>
            </wp:positionH>
            <wp:positionV relativeFrom="paragraph">
              <wp:posOffset>17096</wp:posOffset>
            </wp:positionV>
            <wp:extent cx="1647027" cy="717104"/>
            <wp:effectExtent l="0" t="0" r="0" b="0"/>
            <wp:wrapNone/>
            <wp:docPr id="193" name="Graphic 193" descr="A city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raphic 193" descr="A city block"/>
                    <pic:cNvPicPr/>
                  </pic:nvPicPr>
                  <pic:blipFill rotWithShape="1">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rcRect t="31478" r="5026" b="27169"/>
                    <a:stretch/>
                  </pic:blipFill>
                  <pic:spPr bwMode="auto">
                    <a:xfrm>
                      <a:off x="0" y="0"/>
                      <a:ext cx="1647027" cy="7171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9CFB20" w14:textId="625ACBB2" w:rsidR="00DB6BFA" w:rsidRPr="007504E6" w:rsidRDefault="00DB6BFA" w:rsidP="00F41C48">
      <w:pPr>
        <w:spacing w:line="276" w:lineRule="auto"/>
        <w:ind w:firstLine="0"/>
        <w:rPr>
          <w:rFonts w:ascii="Times New Roman" w:hAnsi="Times New Roman" w:cs="Times New Roman"/>
          <w:lang w:val="en-GB"/>
        </w:rPr>
      </w:pPr>
    </w:p>
    <w:p w14:paraId="50455A08" w14:textId="0F9BD41A" w:rsidR="00DB6BFA" w:rsidRPr="007504E6" w:rsidRDefault="00DB6BFA" w:rsidP="00F41C48">
      <w:pPr>
        <w:spacing w:line="276" w:lineRule="auto"/>
        <w:ind w:firstLine="0"/>
        <w:rPr>
          <w:rFonts w:ascii="Times New Roman" w:hAnsi="Times New Roman" w:cs="Times New Roman"/>
          <w:lang w:val="en-GB"/>
        </w:rPr>
      </w:pPr>
    </w:p>
    <w:p w14:paraId="6824B233" w14:textId="77777777" w:rsidR="00DB6BFA" w:rsidRPr="007504E6" w:rsidRDefault="00DB6BFA" w:rsidP="00F41C48">
      <w:pPr>
        <w:spacing w:line="276" w:lineRule="auto"/>
        <w:ind w:firstLine="0"/>
        <w:rPr>
          <w:rFonts w:ascii="Times New Roman" w:hAnsi="Times New Roman" w:cs="Times New Roman"/>
          <w:lang w:val="en-GB"/>
        </w:rPr>
      </w:pPr>
    </w:p>
    <w:p w14:paraId="44E372B1" w14:textId="70A13280" w:rsidR="004A1406" w:rsidRPr="007504E6" w:rsidRDefault="004A1406" w:rsidP="004A1406">
      <w:pPr>
        <w:pStyle w:val="Paraststmeklis"/>
        <w:spacing w:before="0" w:beforeAutospacing="0" w:after="0" w:afterAutospacing="0"/>
        <w:jc w:val="both"/>
        <w:rPr>
          <w:color w:val="000000"/>
          <w:sz w:val="27"/>
          <w:szCs w:val="27"/>
          <w:lang w:val="en-GB"/>
        </w:rPr>
      </w:pPr>
      <w:r w:rsidRPr="007504E6">
        <w:rPr>
          <w:b/>
          <w:bCs/>
          <w:color w:val="000000"/>
          <w:sz w:val="32"/>
          <w:szCs w:val="32"/>
          <w:lang w:val="en-GB"/>
        </w:rPr>
        <w:t>Construction of residential buildings is </w:t>
      </w:r>
      <w:r w:rsidRPr="007504E6">
        <w:rPr>
          <w:color w:val="000000"/>
          <w:sz w:val="22"/>
          <w:szCs w:val="22"/>
          <w:lang w:val="en-GB"/>
        </w:rPr>
        <w:t xml:space="preserve">expected to grow faster than in the non-residential segment. Construction growth forecast for 2021 year is 5.9% and in </w:t>
      </w:r>
      <w:r w:rsidR="00C06796" w:rsidRPr="007504E6">
        <w:rPr>
          <w:color w:val="000000"/>
          <w:sz w:val="22"/>
          <w:szCs w:val="22"/>
          <w:lang w:val="en-GB"/>
        </w:rPr>
        <w:t>2022,</w:t>
      </w:r>
      <w:r w:rsidRPr="007504E6">
        <w:rPr>
          <w:color w:val="000000"/>
          <w:sz w:val="22"/>
          <w:szCs w:val="22"/>
          <w:lang w:val="en-GB"/>
        </w:rPr>
        <w:t xml:space="preserve"> the 6.0%. In the period 2023-2025. Growth could accelerate to 8.2% on average in 2007.</w:t>
      </w:r>
    </w:p>
    <w:p w14:paraId="64B3C617" w14:textId="77777777" w:rsidR="004A1406" w:rsidRPr="007504E6" w:rsidRDefault="004A1406" w:rsidP="004A1406">
      <w:pPr>
        <w:pStyle w:val="Paraststmeklis"/>
        <w:spacing w:before="0" w:beforeAutospacing="0" w:after="0" w:afterAutospacing="0"/>
        <w:ind w:left="360"/>
        <w:jc w:val="both"/>
        <w:rPr>
          <w:color w:val="000000"/>
          <w:sz w:val="27"/>
          <w:szCs w:val="27"/>
          <w:lang w:val="en-GB"/>
        </w:rPr>
      </w:pPr>
      <w:r w:rsidRPr="007504E6">
        <w:rPr>
          <w:color w:val="000000"/>
          <w:sz w:val="22"/>
          <w:szCs w:val="22"/>
          <w:lang w:val="en-GB"/>
        </w:rPr>
        <w:t> </w:t>
      </w:r>
    </w:p>
    <w:p w14:paraId="5FC35FBB" w14:textId="7B3DC219" w:rsidR="004A1406" w:rsidRPr="007504E6" w:rsidRDefault="004A1406" w:rsidP="004A1406">
      <w:pPr>
        <w:pStyle w:val="Paraststmeklis"/>
        <w:spacing w:before="0" w:beforeAutospacing="0" w:after="0" w:afterAutospacing="0"/>
        <w:jc w:val="both"/>
        <w:rPr>
          <w:color w:val="000000"/>
          <w:sz w:val="27"/>
          <w:szCs w:val="27"/>
          <w:lang w:val="en-GB"/>
        </w:rPr>
      </w:pPr>
      <w:r w:rsidRPr="007504E6">
        <w:rPr>
          <w:color w:val="000000"/>
          <w:sz w:val="22"/>
          <w:szCs w:val="22"/>
          <w:lang w:val="en-GB"/>
        </w:rPr>
        <w:t xml:space="preserve">In construction of buildings in 2021, a very rapid increase in costs is forecast by 11.6% - almost twice as much as volume </w:t>
      </w:r>
      <w:r w:rsidR="00BB3C58" w:rsidRPr="007504E6">
        <w:rPr>
          <w:color w:val="000000"/>
          <w:sz w:val="22"/>
          <w:szCs w:val="22"/>
          <w:lang w:val="en-GB"/>
        </w:rPr>
        <w:t>growth,</w:t>
      </w:r>
      <w:r w:rsidRPr="007504E6">
        <w:rPr>
          <w:color w:val="000000"/>
          <w:sz w:val="22"/>
          <w:szCs w:val="22"/>
          <w:lang w:val="en-GB"/>
        </w:rPr>
        <w:t xml:space="preserve"> which is forecast to increase</w:t>
      </w:r>
      <w:r w:rsidR="008E50FC" w:rsidRPr="007504E6">
        <w:rPr>
          <w:color w:val="000000"/>
          <w:sz w:val="22"/>
          <w:szCs w:val="22"/>
          <w:lang w:val="en-GB"/>
        </w:rPr>
        <w:t xml:space="preserve"> </w:t>
      </w:r>
      <w:r w:rsidRPr="007504E6">
        <w:rPr>
          <w:color w:val="000000"/>
          <w:sz w:val="22"/>
          <w:szCs w:val="22"/>
          <w:lang w:val="en-GB"/>
        </w:rPr>
        <w:t xml:space="preserve">in the following years as well, creating an average annual growth of 6.1% by </w:t>
      </w:r>
      <w:r w:rsidR="00C06796" w:rsidRPr="007504E6">
        <w:rPr>
          <w:color w:val="000000"/>
          <w:sz w:val="22"/>
          <w:szCs w:val="22"/>
          <w:lang w:val="en-GB"/>
        </w:rPr>
        <w:t>2025.</w:t>
      </w:r>
    </w:p>
    <w:p w14:paraId="7775BBCE" w14:textId="77777777" w:rsidR="004A1406" w:rsidRPr="007504E6" w:rsidRDefault="004A1406" w:rsidP="00F54AE5">
      <w:pPr>
        <w:spacing w:line="240" w:lineRule="auto"/>
        <w:ind w:firstLine="0"/>
        <w:rPr>
          <w:rFonts w:ascii="Times New Roman" w:hAnsi="Times New Roman" w:cs="Times New Roman"/>
          <w:b/>
          <w:bCs/>
          <w:sz w:val="32"/>
          <w:szCs w:val="32"/>
          <w:lang w:val="en-GB"/>
        </w:rPr>
      </w:pPr>
    </w:p>
    <w:p w14:paraId="173ADFF6" w14:textId="1BB38173" w:rsidR="002D55C3" w:rsidRPr="007504E6" w:rsidRDefault="008E50FC" w:rsidP="00DB6BFA">
      <w:pPr>
        <w:spacing w:line="240" w:lineRule="auto"/>
        <w:ind w:firstLine="0"/>
        <w:rPr>
          <w:rFonts w:ascii="Times New Roman" w:hAnsi="Times New Roman" w:cs="Times New Roman"/>
          <w:b/>
          <w:bCs/>
          <w:sz w:val="32"/>
          <w:szCs w:val="32"/>
          <w:lang w:val="en-GB"/>
        </w:rPr>
      </w:pPr>
      <w:r w:rsidRPr="007504E6">
        <w:rPr>
          <w:b/>
          <w:bCs/>
          <w:color w:val="000000"/>
          <w:sz w:val="32"/>
          <w:szCs w:val="32"/>
          <w:lang w:val="en-GB"/>
        </w:rPr>
        <w:t>The transport construction </w:t>
      </w:r>
      <w:r w:rsidRPr="007504E6">
        <w:rPr>
          <w:color w:val="000000"/>
          <w:lang w:val="en-GB"/>
        </w:rPr>
        <w:t>industry will face volatile trends in the short term. Experts don’t have relative clarity and consensus about the expected funding for 2022</w:t>
      </w:r>
      <w:r w:rsidR="00BB3C58" w:rsidRPr="007504E6">
        <w:rPr>
          <w:color w:val="000000"/>
          <w:lang w:val="en-GB"/>
        </w:rPr>
        <w:t>.</w:t>
      </w:r>
      <w:r w:rsidRPr="007504E6">
        <w:rPr>
          <w:color w:val="000000"/>
          <w:lang w:val="en-GB"/>
        </w:rPr>
        <w:t> The development of the transport sector is related to the implementation of significant municipal, state and European Union projects. In 2021, according to both expert forecasts and combined forecasts, growth is expected in all sub-sectors of construction of transport facilities. However, in 2022 a decline is forecast in some sub-sectors - construction of roads and highways and construction of bridges and tunnels. This is explained by fluctuations in the Structural Funds and, consequently, the impact of expert opinion. In the period from 2023-2025. Road and motorway construction trends are estimated as a period of moderate growth with a slight increase in market volume. At the same time, the construction of railways, bridges and tunnels is experiencing a sharp leap, which is related to the significant construction works of Rail Baltic. Given that this sub-sector is highly cyclical, these large jumps may be followed by equally significant declines in the long run. Also in the last decade, the railway sub-sector has seen alternating years of rapid increases and decreases.</w:t>
      </w:r>
      <w:r w:rsidRPr="007504E6">
        <w:rPr>
          <w:rFonts w:ascii="Times New Roman" w:hAnsi="Times New Roman" w:cs="Times New Roman"/>
          <w:b/>
          <w:bCs/>
          <w:sz w:val="32"/>
          <w:szCs w:val="32"/>
          <w:lang w:val="en-GB"/>
        </w:rPr>
        <w:t xml:space="preserve"> </w:t>
      </w:r>
    </w:p>
    <w:p w14:paraId="374ACA49" w14:textId="293EC324" w:rsidR="00DB6BFA" w:rsidRPr="007504E6" w:rsidRDefault="00DB6BFA" w:rsidP="00DB6BFA">
      <w:pPr>
        <w:pStyle w:val="Sarakstarindkopa"/>
        <w:spacing w:line="240" w:lineRule="auto"/>
        <w:ind w:left="360" w:firstLine="0"/>
        <w:rPr>
          <w:rFonts w:ascii="Times New Roman" w:hAnsi="Times New Roman" w:cs="Times New Roman"/>
          <w:lang w:val="en-GB"/>
        </w:rPr>
      </w:pPr>
    </w:p>
    <w:p w14:paraId="5D874B82" w14:textId="72C1AD69" w:rsidR="005D4F6D" w:rsidRPr="007504E6" w:rsidRDefault="005D4F6D" w:rsidP="00DB6BFA">
      <w:pPr>
        <w:spacing w:line="240" w:lineRule="auto"/>
        <w:ind w:firstLine="0"/>
        <w:rPr>
          <w:rFonts w:ascii="Times New Roman" w:hAnsi="Times New Roman" w:cs="Times New Roman"/>
          <w:lang w:val="en-GB"/>
        </w:rPr>
      </w:pPr>
    </w:p>
    <w:p w14:paraId="18A8F041" w14:textId="15B51159" w:rsidR="00F54AE5" w:rsidRPr="007504E6" w:rsidRDefault="00A238E5" w:rsidP="00F54AE5">
      <w:pPr>
        <w:spacing w:line="276" w:lineRule="auto"/>
        <w:ind w:firstLine="0"/>
        <w:rPr>
          <w:rFonts w:ascii="Times New Roman" w:hAnsi="Times New Roman" w:cs="Times New Roman"/>
          <w:lang w:val="en-GB"/>
        </w:rPr>
      </w:pPr>
      <w:r w:rsidRPr="007504E6">
        <w:rPr>
          <w:rFonts w:ascii="Times New Roman" w:hAnsi="Times New Roman" w:cs="Times New Roman"/>
          <w:b/>
          <w:bCs/>
          <w:sz w:val="32"/>
          <w:szCs w:val="32"/>
          <w:lang w:val="en-GB"/>
        </w:rPr>
        <w:t xml:space="preserve">Urban infrastructure </w:t>
      </w:r>
      <w:r w:rsidRPr="007504E6">
        <w:rPr>
          <w:rFonts w:ascii="Times New Roman" w:hAnsi="Times New Roman" w:cs="Times New Roman"/>
          <w:lang w:val="en-GB"/>
        </w:rPr>
        <w:t>sub-sector, in the experts' view of further development is relatively optimistic with rapid growth of over 10% per year from 2022 to 2024. Adjusting this view with statistical forecasts and thus obtaining complex forecasts, it is estimated that in the short term this sub-sector would have moderate growth below the 10% threshold, which will become more moderate from 2022 and will be only a few percent per year in the medium term</w:t>
      </w:r>
      <w:r w:rsidR="00F54AE5" w:rsidRPr="007504E6">
        <w:rPr>
          <w:rFonts w:ascii="Times New Roman" w:hAnsi="Times New Roman" w:cs="Times New Roman"/>
          <w:lang w:val="en-GB"/>
        </w:rPr>
        <w:t xml:space="preserve">. </w:t>
      </w:r>
    </w:p>
    <w:p w14:paraId="0BDC6122" w14:textId="2415A97C" w:rsidR="005D4F6D" w:rsidRPr="007504E6" w:rsidRDefault="005D4F6D" w:rsidP="00F54AE5">
      <w:pPr>
        <w:spacing w:line="240" w:lineRule="auto"/>
        <w:ind w:firstLine="0"/>
        <w:rPr>
          <w:rFonts w:ascii="Times New Roman" w:hAnsi="Times New Roman" w:cs="Times New Roman"/>
          <w:lang w:val="en-GB"/>
        </w:rPr>
      </w:pPr>
    </w:p>
    <w:p w14:paraId="5CD7661C" w14:textId="77777777" w:rsidR="002D55C3" w:rsidRPr="007504E6" w:rsidRDefault="002D55C3" w:rsidP="00DB6BFA">
      <w:pPr>
        <w:spacing w:line="240" w:lineRule="auto"/>
        <w:ind w:firstLine="0"/>
        <w:rPr>
          <w:rFonts w:ascii="Times New Roman" w:hAnsi="Times New Roman" w:cs="Times New Roman"/>
          <w:lang w:val="en-GB"/>
        </w:rPr>
      </w:pPr>
    </w:p>
    <w:p w14:paraId="3539E208" w14:textId="46E7661F" w:rsidR="009F451A" w:rsidRPr="007504E6" w:rsidRDefault="00560967" w:rsidP="009F451A">
      <w:pPr>
        <w:spacing w:line="240" w:lineRule="auto"/>
        <w:ind w:firstLine="0"/>
        <w:rPr>
          <w:rFonts w:ascii="Times New Roman" w:hAnsi="Times New Roman" w:cs="Times New Roman"/>
          <w:lang w:val="en-GB"/>
        </w:rPr>
      </w:pPr>
      <w:r w:rsidRPr="007504E6">
        <w:rPr>
          <w:rFonts w:ascii="Times New Roman" w:hAnsi="Times New Roman" w:cs="Times New Roman"/>
          <w:b/>
          <w:bCs/>
          <w:sz w:val="32"/>
          <w:szCs w:val="32"/>
          <w:lang w:val="en-GB"/>
        </w:rPr>
        <w:t>Architectural and engineering services</w:t>
      </w:r>
      <w:r w:rsidR="00DB6BFA" w:rsidRPr="007504E6">
        <w:rPr>
          <w:rFonts w:ascii="Times New Roman" w:hAnsi="Times New Roman" w:cs="Times New Roman"/>
          <w:b/>
          <w:bCs/>
          <w:sz w:val="32"/>
          <w:szCs w:val="32"/>
          <w:lang w:val="en-GB"/>
        </w:rPr>
        <w:t>,</w:t>
      </w:r>
      <w:r w:rsidR="00DB6BFA" w:rsidRPr="007504E6">
        <w:rPr>
          <w:rFonts w:ascii="Times New Roman" w:hAnsi="Times New Roman" w:cs="Times New Roman"/>
          <w:sz w:val="32"/>
          <w:szCs w:val="32"/>
          <w:lang w:val="en-GB"/>
        </w:rPr>
        <w:t xml:space="preserve"> </w:t>
      </w:r>
      <w:r w:rsidR="009F451A" w:rsidRPr="007504E6">
        <w:rPr>
          <w:rFonts w:ascii="Times New Roman" w:hAnsi="Times New Roman" w:cs="Times New Roman"/>
          <w:lang w:val="en-GB"/>
        </w:rPr>
        <w:t xml:space="preserve">technical </w:t>
      </w:r>
      <w:r w:rsidR="00BB3C58" w:rsidRPr="007504E6">
        <w:rPr>
          <w:rFonts w:ascii="Times New Roman" w:hAnsi="Times New Roman" w:cs="Times New Roman"/>
          <w:lang w:val="en-GB"/>
        </w:rPr>
        <w:t>inspection</w:t>
      </w:r>
      <w:r w:rsidR="009F451A" w:rsidRPr="007504E6">
        <w:rPr>
          <w:rFonts w:ascii="Times New Roman" w:hAnsi="Times New Roman" w:cs="Times New Roman"/>
          <w:lang w:val="en-GB"/>
        </w:rPr>
        <w:t xml:space="preserve"> and analysis sub-sector in the period from 2021 to 2024, the sector is forecast to grow faster and faster from 6.4% in 2021 to 17.9% compared to the previous year in 2024.</w:t>
      </w:r>
    </w:p>
    <w:p w14:paraId="08A1107F" w14:textId="77777777" w:rsidR="009F451A" w:rsidRPr="007504E6" w:rsidRDefault="009F451A" w:rsidP="009F451A">
      <w:pPr>
        <w:spacing w:line="240" w:lineRule="auto"/>
        <w:ind w:firstLine="0"/>
        <w:rPr>
          <w:rFonts w:ascii="Times New Roman" w:hAnsi="Times New Roman" w:cs="Times New Roman"/>
          <w:lang w:val="en-GB"/>
        </w:rPr>
      </w:pPr>
    </w:p>
    <w:p w14:paraId="604CD66E" w14:textId="26028578" w:rsidR="002C7655" w:rsidRPr="007504E6" w:rsidRDefault="009F451A" w:rsidP="009F451A">
      <w:pPr>
        <w:spacing w:line="240" w:lineRule="auto"/>
        <w:ind w:firstLine="0"/>
        <w:rPr>
          <w:rFonts w:ascii="Times New Roman" w:hAnsi="Times New Roman" w:cs="Times New Roman"/>
          <w:lang w:val="en-GB"/>
        </w:rPr>
      </w:pPr>
      <w:r w:rsidRPr="007504E6">
        <w:rPr>
          <w:rFonts w:ascii="Times New Roman" w:hAnsi="Times New Roman" w:cs="Times New Roman"/>
          <w:lang w:val="en-GB"/>
        </w:rPr>
        <w:t>The costs of the sub-sector of architectural and engineering services, technical testing and analysis in 2021 and 2022 could increase significantly by 13.6% and 15.7%, respectively, however, in the medium term the increase in costs is estimated to be lower on average in 2023-2025. per year than 5.2% per year</w:t>
      </w:r>
      <w:r w:rsidR="00DB6BFA" w:rsidRPr="007504E6">
        <w:rPr>
          <w:rFonts w:ascii="Times New Roman" w:hAnsi="Times New Roman" w:cs="Times New Roman"/>
          <w:lang w:val="en-GB"/>
        </w:rPr>
        <w:t>.</w:t>
      </w:r>
    </w:p>
    <w:p w14:paraId="7DDEB5C5" w14:textId="74DB236B" w:rsidR="002C7655" w:rsidRPr="007504E6" w:rsidRDefault="002C7655" w:rsidP="00266E91">
      <w:pPr>
        <w:spacing w:line="276" w:lineRule="auto"/>
        <w:ind w:firstLine="0"/>
        <w:rPr>
          <w:rFonts w:ascii="Times New Roman" w:hAnsi="Times New Roman" w:cs="Times New Roman"/>
          <w:b/>
          <w:bCs/>
          <w:sz w:val="32"/>
          <w:szCs w:val="32"/>
          <w:lang w:val="en-GB"/>
        </w:rPr>
      </w:pPr>
    </w:p>
    <w:p w14:paraId="1726180D" w14:textId="039FD984" w:rsidR="009F451A" w:rsidRPr="007504E6" w:rsidRDefault="009F451A" w:rsidP="009F451A">
      <w:pPr>
        <w:spacing w:line="240" w:lineRule="auto"/>
        <w:ind w:firstLine="0"/>
        <w:rPr>
          <w:rFonts w:ascii="Times New Roman" w:hAnsi="Times New Roman" w:cs="Times New Roman"/>
          <w:lang w:val="en-GB"/>
        </w:rPr>
      </w:pPr>
      <w:r w:rsidRPr="007504E6">
        <w:rPr>
          <w:rFonts w:ascii="Times New Roman" w:hAnsi="Times New Roman" w:cs="Times New Roman"/>
          <w:b/>
          <w:bCs/>
          <w:sz w:val="32"/>
          <w:szCs w:val="32"/>
          <w:lang w:val="en-GB"/>
        </w:rPr>
        <w:t>In the field of construction resources</w:t>
      </w:r>
      <w:r w:rsidR="0054078F" w:rsidRPr="007504E6">
        <w:rPr>
          <w:rFonts w:ascii="Times New Roman" w:hAnsi="Times New Roman" w:cs="Times New Roman"/>
          <w:b/>
          <w:bCs/>
          <w:sz w:val="32"/>
          <w:szCs w:val="32"/>
          <w:lang w:val="en-GB"/>
        </w:rPr>
        <w:t xml:space="preserve">, </w:t>
      </w:r>
      <w:r w:rsidRPr="007504E6">
        <w:rPr>
          <w:rFonts w:ascii="Times New Roman" w:hAnsi="Times New Roman" w:cs="Times New Roman"/>
          <w:lang w:val="en-GB"/>
        </w:rPr>
        <w:t>a significant increase in costs in 2021 is expected for construction materials, which is estimated at 7.1% annually, in 2022 an increase of 4.5%, but in the following years until 2025 on average by 3.1% per year.</w:t>
      </w:r>
    </w:p>
    <w:p w14:paraId="2B755775" w14:textId="77777777" w:rsidR="009F451A" w:rsidRPr="007504E6" w:rsidRDefault="009F451A" w:rsidP="009F451A">
      <w:pPr>
        <w:spacing w:line="240" w:lineRule="auto"/>
        <w:ind w:firstLine="0"/>
        <w:rPr>
          <w:rFonts w:ascii="Times New Roman" w:hAnsi="Times New Roman" w:cs="Times New Roman"/>
          <w:lang w:val="en-GB"/>
        </w:rPr>
      </w:pPr>
    </w:p>
    <w:p w14:paraId="4FA8E7D6" w14:textId="77777777" w:rsidR="009F451A" w:rsidRPr="007504E6" w:rsidRDefault="009F451A" w:rsidP="009F451A">
      <w:pPr>
        <w:spacing w:line="240" w:lineRule="auto"/>
        <w:ind w:firstLine="0"/>
        <w:rPr>
          <w:rFonts w:ascii="Times New Roman" w:hAnsi="Times New Roman" w:cs="Times New Roman"/>
          <w:lang w:val="en-GB"/>
        </w:rPr>
      </w:pPr>
      <w:r w:rsidRPr="007504E6">
        <w:rPr>
          <w:rFonts w:ascii="Times New Roman" w:hAnsi="Times New Roman" w:cs="Times New Roman"/>
          <w:lang w:val="en-GB"/>
        </w:rPr>
        <w:t>The steady increase in workers' wages is forecast to be equal to the previous five-year period, increasing by 7.1% in 2021 and by 7.4% in 2022. In the coming years, growth is likely to decline and is estimated at an average of 6.5% per year.</w:t>
      </w:r>
    </w:p>
    <w:p w14:paraId="1DD2EFC2" w14:textId="77777777" w:rsidR="009F451A" w:rsidRPr="007504E6" w:rsidRDefault="009F451A" w:rsidP="009F451A">
      <w:pPr>
        <w:spacing w:line="240" w:lineRule="auto"/>
        <w:ind w:firstLine="0"/>
        <w:rPr>
          <w:rFonts w:ascii="Times New Roman" w:hAnsi="Times New Roman" w:cs="Times New Roman"/>
          <w:lang w:val="en-GB"/>
        </w:rPr>
      </w:pPr>
    </w:p>
    <w:p w14:paraId="4044B859" w14:textId="77777777" w:rsidR="009F451A" w:rsidRPr="007504E6" w:rsidRDefault="009F451A" w:rsidP="009F451A">
      <w:pPr>
        <w:spacing w:line="240" w:lineRule="auto"/>
        <w:ind w:firstLine="0"/>
        <w:rPr>
          <w:rFonts w:ascii="Times New Roman" w:hAnsi="Times New Roman" w:cs="Times New Roman"/>
          <w:lang w:val="en-GB"/>
        </w:rPr>
      </w:pPr>
      <w:r w:rsidRPr="007504E6">
        <w:rPr>
          <w:rFonts w:ascii="Times New Roman" w:hAnsi="Times New Roman" w:cs="Times New Roman"/>
          <w:lang w:val="en-GB"/>
        </w:rPr>
        <w:t>The cost of machinery and equipment is projected to grow relatively insignificantly by 1.3% in 2021 and 1.1% in 2022. In the further period, the growth is estimated to be even lower and could reach 0.2% growth in 2025.</w:t>
      </w:r>
    </w:p>
    <w:p w14:paraId="27610420" w14:textId="77777777" w:rsidR="009F451A" w:rsidRPr="007504E6" w:rsidRDefault="009F451A" w:rsidP="009F451A">
      <w:pPr>
        <w:spacing w:line="240" w:lineRule="auto"/>
        <w:ind w:firstLine="0"/>
        <w:rPr>
          <w:rFonts w:ascii="Times New Roman" w:hAnsi="Times New Roman" w:cs="Times New Roman"/>
          <w:lang w:val="en-GB"/>
        </w:rPr>
      </w:pPr>
    </w:p>
    <w:p w14:paraId="4BAC7E26" w14:textId="4FE818A4" w:rsidR="002C7655" w:rsidRPr="007504E6" w:rsidRDefault="009F451A" w:rsidP="009F451A">
      <w:pPr>
        <w:spacing w:line="240" w:lineRule="auto"/>
        <w:ind w:firstLine="0"/>
        <w:rPr>
          <w:rFonts w:ascii="Times New Roman" w:hAnsi="Times New Roman" w:cs="Times New Roman"/>
          <w:lang w:val="en-GB"/>
        </w:rPr>
      </w:pPr>
      <w:r w:rsidRPr="007504E6">
        <w:rPr>
          <w:rFonts w:ascii="Times New Roman" w:hAnsi="Times New Roman" w:cs="Times New Roman"/>
          <w:lang w:val="en-GB"/>
        </w:rPr>
        <w:t>In the construction of residential and non-residential buildings in 2021, the most significant increase in the cost of construction materials should be taken into account in the amount of 14.7-14.8%, while the increase in wages is estimated at 6.9-7.0%</w:t>
      </w:r>
      <w:r w:rsidR="002C7655" w:rsidRPr="007504E6">
        <w:rPr>
          <w:rFonts w:ascii="Times New Roman" w:hAnsi="Times New Roman" w:cs="Times New Roman"/>
          <w:lang w:val="en-GB"/>
        </w:rPr>
        <w:t>.</w:t>
      </w:r>
    </w:p>
    <w:p w14:paraId="33705B89" w14:textId="77777777" w:rsidR="002C7655" w:rsidRPr="007504E6" w:rsidRDefault="002C7655" w:rsidP="002575E7">
      <w:pPr>
        <w:pStyle w:val="Sarakstarindkopa"/>
        <w:spacing w:line="240" w:lineRule="auto"/>
        <w:ind w:left="360" w:firstLine="0"/>
        <w:rPr>
          <w:rFonts w:ascii="Times New Roman" w:hAnsi="Times New Roman" w:cs="Times New Roman"/>
          <w:lang w:val="en-GB"/>
        </w:rPr>
      </w:pPr>
    </w:p>
    <w:p w14:paraId="3D2FD1DB" w14:textId="77777777" w:rsidR="003F1926" w:rsidRPr="007504E6" w:rsidRDefault="003F1926" w:rsidP="003F1926">
      <w:pPr>
        <w:spacing w:line="240" w:lineRule="auto"/>
        <w:ind w:firstLine="0"/>
        <w:rPr>
          <w:rFonts w:ascii="Times New Roman" w:hAnsi="Times New Roman" w:cs="Times New Roman"/>
          <w:lang w:val="en-GB"/>
        </w:rPr>
      </w:pPr>
      <w:r w:rsidRPr="007504E6">
        <w:rPr>
          <w:rFonts w:ascii="Times New Roman" w:hAnsi="Times New Roman" w:cs="Times New Roman"/>
          <w:lang w:val="en-GB"/>
        </w:rPr>
        <w:t>A significant increase in the costs of construction of transport facilities in 2021 is forecasted for both construction materials (10.0%) and maintenance and operation of machinery and equipment (10.0%), while an increase in wages is estimated at 8.0%, followed closely by architectural and other services with an increase of 7.8%. This sector is characterized by specific forecasts that the costs of services alone will grow faster and faster and in 2023-2025. could increase by 9.6% on average per year.</w:t>
      </w:r>
    </w:p>
    <w:p w14:paraId="6E928C1B" w14:textId="77777777" w:rsidR="003F1926" w:rsidRPr="007504E6" w:rsidRDefault="003F1926" w:rsidP="003F1926">
      <w:pPr>
        <w:spacing w:line="240" w:lineRule="auto"/>
        <w:ind w:firstLine="0"/>
        <w:rPr>
          <w:rFonts w:ascii="Times New Roman" w:hAnsi="Times New Roman" w:cs="Times New Roman"/>
          <w:lang w:val="en-GB"/>
        </w:rPr>
      </w:pPr>
    </w:p>
    <w:p w14:paraId="0715E7F1" w14:textId="77777777" w:rsidR="003F1926" w:rsidRPr="007504E6" w:rsidRDefault="003F1926" w:rsidP="003F1926">
      <w:pPr>
        <w:spacing w:line="240" w:lineRule="auto"/>
        <w:ind w:firstLine="0"/>
        <w:rPr>
          <w:rFonts w:ascii="Times New Roman" w:hAnsi="Times New Roman" w:cs="Times New Roman"/>
          <w:lang w:val="en-GB"/>
        </w:rPr>
      </w:pPr>
      <w:r w:rsidRPr="007504E6">
        <w:rPr>
          <w:rFonts w:ascii="Times New Roman" w:hAnsi="Times New Roman" w:cs="Times New Roman"/>
          <w:lang w:val="en-GB"/>
        </w:rPr>
        <w:t>The largest increase in the construction of urban infrastructure objects is also forecast for construction materials with a 15.3% increase in 2021, with other types of resources growing relatively less - workers' wages by 7.6%, machinery and equipment expenditure by 6.6% and service expenditure by 7%. 7%.</w:t>
      </w:r>
    </w:p>
    <w:p w14:paraId="6E6FAD0A" w14:textId="77777777" w:rsidR="003F1926" w:rsidRPr="007504E6" w:rsidRDefault="003F1926" w:rsidP="003F1926">
      <w:pPr>
        <w:spacing w:line="240" w:lineRule="auto"/>
        <w:ind w:firstLine="0"/>
        <w:rPr>
          <w:rFonts w:ascii="Times New Roman" w:hAnsi="Times New Roman" w:cs="Times New Roman"/>
          <w:lang w:val="en-GB"/>
        </w:rPr>
      </w:pPr>
    </w:p>
    <w:p w14:paraId="3EF9306E" w14:textId="4D4E4414" w:rsidR="009A2ED4" w:rsidRPr="007504E6" w:rsidRDefault="003F1926" w:rsidP="003F1926">
      <w:pPr>
        <w:spacing w:line="240" w:lineRule="auto"/>
        <w:ind w:firstLine="0"/>
        <w:rPr>
          <w:rFonts w:ascii="Times New Roman" w:hAnsi="Times New Roman" w:cs="Times New Roman"/>
          <w:lang w:val="en-GB"/>
        </w:rPr>
      </w:pPr>
      <w:r w:rsidRPr="007504E6">
        <w:rPr>
          <w:rFonts w:ascii="Times New Roman" w:hAnsi="Times New Roman" w:cs="Times New Roman"/>
          <w:lang w:val="en-GB"/>
        </w:rPr>
        <w:t>In the sub-sector of specialized construction works, the increase of construction material costs in 2021 is forecasted in the amount of 15.8%, while the increase of wage costs is estimated as the smallest of the types of resources - 5.1%, however, a high</w:t>
      </w:r>
      <w:r w:rsidR="002C7655" w:rsidRPr="007504E6">
        <w:rPr>
          <w:rFonts w:ascii="Times New Roman" w:hAnsi="Times New Roman" w:cs="Times New Roman"/>
          <w:lang w:val="en-GB"/>
        </w:rPr>
        <w:t>.</w:t>
      </w:r>
    </w:p>
    <w:p w14:paraId="3A49563D" w14:textId="77777777" w:rsidR="00867EE7" w:rsidRPr="007504E6" w:rsidRDefault="00867EE7" w:rsidP="00867EE7">
      <w:pPr>
        <w:spacing w:line="240" w:lineRule="auto"/>
        <w:ind w:firstLine="0"/>
        <w:rPr>
          <w:rFonts w:ascii="Times New Roman" w:hAnsi="Times New Roman" w:cs="Times New Roman"/>
          <w:lang w:val="en-GB"/>
        </w:rPr>
      </w:pPr>
    </w:p>
    <w:p w14:paraId="2EA4A2F6" w14:textId="77777777" w:rsidR="003F1926" w:rsidRPr="007504E6" w:rsidRDefault="003F1926" w:rsidP="003F1926">
      <w:pPr>
        <w:spacing w:line="240" w:lineRule="auto"/>
        <w:ind w:firstLine="0"/>
        <w:rPr>
          <w:rFonts w:ascii="Times New Roman" w:hAnsi="Times New Roman" w:cs="Times New Roman"/>
          <w:lang w:val="en-GB"/>
        </w:rPr>
      </w:pPr>
      <w:r w:rsidRPr="007504E6">
        <w:rPr>
          <w:rFonts w:ascii="Times New Roman" w:hAnsi="Times New Roman" w:cs="Times New Roman"/>
          <w:b/>
          <w:bCs/>
          <w:sz w:val="32"/>
          <w:szCs w:val="32"/>
          <w:lang w:val="en-GB"/>
        </w:rPr>
        <w:t xml:space="preserve">In construction products </w:t>
      </w:r>
      <w:r w:rsidRPr="007504E6">
        <w:rPr>
          <w:rFonts w:ascii="Times New Roman" w:hAnsi="Times New Roman" w:cs="Times New Roman"/>
          <w:lang w:val="en-GB"/>
        </w:rPr>
        <w:t>the most significant increase in costs in 2021 is forecasted for timber in the amount of 30.0%, which in the period from 2022 to 2025. could reach an average annual growth rate of 5.3%. The second most significant cost increase in 2021 is forecast for metal products at 24.3%, which is estimated at an average annual increase of 6.7% over the next four years.</w:t>
      </w:r>
    </w:p>
    <w:p w14:paraId="7D0C9446" w14:textId="77777777" w:rsidR="003F1926" w:rsidRPr="007504E6" w:rsidRDefault="003F1926" w:rsidP="003F1926">
      <w:pPr>
        <w:spacing w:line="240" w:lineRule="auto"/>
        <w:ind w:firstLine="0"/>
        <w:rPr>
          <w:rFonts w:ascii="Times New Roman" w:hAnsi="Times New Roman" w:cs="Times New Roman"/>
          <w:lang w:val="en-GB"/>
        </w:rPr>
      </w:pPr>
    </w:p>
    <w:p w14:paraId="66A14A9F" w14:textId="77777777" w:rsidR="003F1926" w:rsidRPr="007504E6" w:rsidRDefault="003F1926" w:rsidP="003F1926">
      <w:pPr>
        <w:spacing w:line="240" w:lineRule="auto"/>
        <w:ind w:firstLine="0"/>
        <w:rPr>
          <w:rFonts w:ascii="Times New Roman" w:hAnsi="Times New Roman" w:cs="Times New Roman"/>
          <w:lang w:val="en-GB"/>
        </w:rPr>
      </w:pPr>
      <w:r w:rsidRPr="007504E6">
        <w:rPr>
          <w:rFonts w:ascii="Times New Roman" w:hAnsi="Times New Roman" w:cs="Times New Roman"/>
          <w:lang w:val="en-GB"/>
        </w:rPr>
        <w:t>In the category of finishing materials (exterior, interior finishing and other), the most significant increase in costs in 2021 is forecasted for interior finishing materials on average 11.0%, with an annual increase of 6.3% in the next four years.</w:t>
      </w:r>
    </w:p>
    <w:p w14:paraId="54B8A614" w14:textId="77777777" w:rsidR="003F1926" w:rsidRPr="007504E6" w:rsidRDefault="003F1926" w:rsidP="003F1926">
      <w:pPr>
        <w:spacing w:line="240" w:lineRule="auto"/>
        <w:ind w:firstLine="0"/>
        <w:rPr>
          <w:rFonts w:ascii="Times New Roman" w:hAnsi="Times New Roman" w:cs="Times New Roman"/>
          <w:lang w:val="en-GB"/>
        </w:rPr>
      </w:pPr>
    </w:p>
    <w:p w14:paraId="4AC831D2" w14:textId="77777777" w:rsidR="003F1926" w:rsidRPr="007504E6" w:rsidRDefault="003F1926" w:rsidP="003F1926">
      <w:pPr>
        <w:spacing w:line="240" w:lineRule="auto"/>
        <w:ind w:firstLine="0"/>
        <w:rPr>
          <w:rFonts w:ascii="Times New Roman" w:hAnsi="Times New Roman" w:cs="Times New Roman"/>
          <w:lang w:val="en-GB"/>
        </w:rPr>
      </w:pPr>
      <w:r w:rsidRPr="007504E6">
        <w:rPr>
          <w:rFonts w:ascii="Times New Roman" w:hAnsi="Times New Roman" w:cs="Times New Roman"/>
          <w:lang w:val="en-GB"/>
        </w:rPr>
        <w:t>In the category of main system equipment, the most significant cost increase in 2021 is forecasted for electricity systems in the amount of 16.0%, which could significantly stabilize from 2021 and grow by 3.3% per year on average by 2025. In other items (automation, firefighting, security, plumbing, heating, cooling and lighting systems, lifts and escalators), cost increases are expected to be below 8% per year.</w:t>
      </w:r>
    </w:p>
    <w:p w14:paraId="7D2C15FC" w14:textId="77777777" w:rsidR="003F1926" w:rsidRPr="007504E6" w:rsidRDefault="003F1926" w:rsidP="003F1926">
      <w:pPr>
        <w:spacing w:line="240" w:lineRule="auto"/>
        <w:ind w:firstLine="0"/>
        <w:rPr>
          <w:rFonts w:ascii="Times New Roman" w:hAnsi="Times New Roman" w:cs="Times New Roman"/>
          <w:lang w:val="en-GB"/>
        </w:rPr>
      </w:pPr>
    </w:p>
    <w:p w14:paraId="7E11470E" w14:textId="6C260268" w:rsidR="00C13D62" w:rsidRPr="007504E6" w:rsidRDefault="003F1926" w:rsidP="003F1926">
      <w:pPr>
        <w:spacing w:line="240" w:lineRule="auto"/>
        <w:ind w:firstLine="0"/>
        <w:rPr>
          <w:rFonts w:ascii="Times New Roman" w:hAnsi="Times New Roman" w:cs="Times New Roman"/>
          <w:lang w:val="en-GB"/>
        </w:rPr>
      </w:pPr>
      <w:r w:rsidRPr="007504E6">
        <w:rPr>
          <w:rFonts w:ascii="Times New Roman" w:hAnsi="Times New Roman" w:cs="Times New Roman"/>
          <w:lang w:val="en-GB"/>
        </w:rPr>
        <w:t xml:space="preserve">According to construction products trade experts, the largest volume use (share) in construction in Latvia is cement, concrete, aggregates, sand, </w:t>
      </w:r>
      <w:r w:rsidR="00BB3C58" w:rsidRPr="007504E6">
        <w:rPr>
          <w:rFonts w:ascii="Times New Roman" w:hAnsi="Times New Roman" w:cs="Times New Roman"/>
          <w:lang w:val="en-GB"/>
        </w:rPr>
        <w:t>gravel,</w:t>
      </w:r>
      <w:r w:rsidRPr="007504E6">
        <w:rPr>
          <w:rFonts w:ascii="Times New Roman" w:hAnsi="Times New Roman" w:cs="Times New Roman"/>
          <w:lang w:val="en-GB"/>
        </w:rPr>
        <w:t xml:space="preserve"> and other materials - together the group accounts for 21.0% of consumption, followed by metal products 17.3% and finishing materials 16, 0%</w:t>
      </w:r>
      <w:r w:rsidR="009A2ED4" w:rsidRPr="007504E6">
        <w:rPr>
          <w:rFonts w:ascii="Times New Roman" w:hAnsi="Times New Roman" w:cs="Times New Roman"/>
          <w:lang w:val="en-GB"/>
        </w:rPr>
        <w:t xml:space="preserve">. </w:t>
      </w:r>
    </w:p>
    <w:p w14:paraId="762DB8E7" w14:textId="77777777" w:rsidR="00867EE7" w:rsidRPr="007504E6" w:rsidRDefault="00867EE7" w:rsidP="00867EE7">
      <w:pPr>
        <w:spacing w:line="276" w:lineRule="auto"/>
        <w:ind w:firstLine="0"/>
        <w:rPr>
          <w:rFonts w:ascii="Times New Roman" w:hAnsi="Times New Roman" w:cs="Times New Roman"/>
          <w:lang w:val="en-GB"/>
        </w:rPr>
      </w:pPr>
    </w:p>
    <w:p w14:paraId="1CB1721E" w14:textId="63108C26" w:rsidR="00C13D62" w:rsidRPr="007504E6" w:rsidRDefault="008532C9" w:rsidP="00C13D62">
      <w:pPr>
        <w:spacing w:line="240" w:lineRule="auto"/>
        <w:ind w:firstLine="0"/>
        <w:rPr>
          <w:rFonts w:ascii="Times New Roman" w:hAnsi="Times New Roman" w:cs="Times New Roman"/>
          <w:lang w:val="en-GB"/>
        </w:rPr>
      </w:pPr>
      <w:r w:rsidRPr="007504E6">
        <w:rPr>
          <w:rFonts w:ascii="Times New Roman" w:hAnsi="Times New Roman" w:cs="Times New Roman"/>
          <w:b/>
          <w:bCs/>
          <w:sz w:val="32"/>
          <w:szCs w:val="32"/>
          <w:lang w:val="en-GB"/>
        </w:rPr>
        <w:t>The shadow economy</w:t>
      </w:r>
      <w:r w:rsidR="00C13D62" w:rsidRPr="007504E6">
        <w:rPr>
          <w:rFonts w:ascii="Times New Roman" w:hAnsi="Times New Roman" w:cs="Times New Roman"/>
          <w:sz w:val="32"/>
          <w:szCs w:val="32"/>
          <w:lang w:val="en-GB"/>
        </w:rPr>
        <w:t xml:space="preserve"> </w:t>
      </w:r>
      <w:r w:rsidR="00F079BC" w:rsidRPr="007504E6">
        <w:rPr>
          <w:rFonts w:ascii="Times New Roman" w:hAnsi="Times New Roman" w:cs="Times New Roman"/>
          <w:lang w:val="en-GB"/>
        </w:rPr>
        <w:t xml:space="preserve">control measures have a moderate impact on construction </w:t>
      </w:r>
      <w:proofErr w:type="spellStart"/>
      <w:r w:rsidR="00F079BC" w:rsidRPr="007504E6">
        <w:rPr>
          <w:rFonts w:ascii="Times New Roman" w:hAnsi="Times New Roman" w:cs="Times New Roman"/>
          <w:lang w:val="en-GB"/>
        </w:rPr>
        <w:t>labor</w:t>
      </w:r>
      <w:proofErr w:type="spellEnd"/>
      <w:r w:rsidR="00F079BC" w:rsidRPr="007504E6">
        <w:rPr>
          <w:rFonts w:ascii="Times New Roman" w:hAnsi="Times New Roman" w:cs="Times New Roman"/>
          <w:lang w:val="en-GB"/>
        </w:rPr>
        <w:t xml:space="preserve"> costs. The biggest impact of the anti-shadow measures is the introduction of an electronic working time accounting system and the setting of a minimum wage in the construction sector. Measures to combat the shadow economy have a negligible effect on the cost of building materials</w:t>
      </w:r>
      <w:r w:rsidR="00C13D62" w:rsidRPr="007504E6">
        <w:rPr>
          <w:rFonts w:ascii="Times New Roman" w:hAnsi="Times New Roman" w:cs="Times New Roman"/>
          <w:lang w:val="en-GB"/>
        </w:rPr>
        <w:t>.</w:t>
      </w:r>
    </w:p>
    <w:p w14:paraId="5E73ADAE" w14:textId="696594F2" w:rsidR="00C13D62" w:rsidRPr="007504E6" w:rsidRDefault="00C13D62" w:rsidP="00C13D62">
      <w:pPr>
        <w:pStyle w:val="Sarakstarindkopa"/>
        <w:spacing w:line="240" w:lineRule="auto"/>
        <w:ind w:left="360" w:firstLine="0"/>
        <w:rPr>
          <w:rFonts w:ascii="Times New Roman" w:hAnsi="Times New Roman" w:cs="Times New Roman"/>
          <w:lang w:val="en-GB"/>
        </w:rPr>
      </w:pPr>
    </w:p>
    <w:p w14:paraId="11CA0B3D" w14:textId="2EDF24A9" w:rsidR="00CD738D" w:rsidRPr="007504E6" w:rsidRDefault="00C13D62" w:rsidP="005114D4">
      <w:pPr>
        <w:spacing w:line="240" w:lineRule="auto"/>
        <w:ind w:firstLine="0"/>
        <w:rPr>
          <w:rFonts w:ascii="Times New Roman" w:hAnsi="Times New Roman" w:cs="Times New Roman"/>
          <w:lang w:val="en-GB"/>
        </w:rPr>
      </w:pPr>
      <w:r w:rsidRPr="007504E6">
        <w:rPr>
          <w:rFonts w:ascii="Times New Roman" w:hAnsi="Times New Roman" w:cs="Times New Roman"/>
          <w:b/>
          <w:bCs/>
          <w:sz w:val="32"/>
          <w:szCs w:val="32"/>
          <w:lang w:val="en-GB"/>
        </w:rPr>
        <w:t>COVID-19</w:t>
      </w:r>
      <w:r w:rsidRPr="007504E6">
        <w:rPr>
          <w:rFonts w:ascii="Times New Roman" w:hAnsi="Times New Roman" w:cs="Times New Roman"/>
          <w:sz w:val="32"/>
          <w:szCs w:val="32"/>
          <w:lang w:val="en-GB"/>
        </w:rPr>
        <w:t xml:space="preserve"> </w:t>
      </w:r>
      <w:r w:rsidR="00F079BC" w:rsidRPr="007504E6">
        <w:rPr>
          <w:rFonts w:ascii="Times New Roman" w:hAnsi="Times New Roman" w:cs="Times New Roman"/>
          <w:lang w:val="en-GB"/>
        </w:rPr>
        <w:t xml:space="preserve">has had a mediocre impact on the cost of building materials, but the impact on </w:t>
      </w:r>
      <w:proofErr w:type="spellStart"/>
      <w:r w:rsidR="00F079BC" w:rsidRPr="007504E6">
        <w:rPr>
          <w:rFonts w:ascii="Times New Roman" w:hAnsi="Times New Roman" w:cs="Times New Roman"/>
          <w:lang w:val="en-GB"/>
        </w:rPr>
        <w:t>labor</w:t>
      </w:r>
      <w:proofErr w:type="spellEnd"/>
      <w:r w:rsidR="00F079BC" w:rsidRPr="007504E6">
        <w:rPr>
          <w:rFonts w:ascii="Times New Roman" w:hAnsi="Times New Roman" w:cs="Times New Roman"/>
          <w:lang w:val="en-GB"/>
        </w:rPr>
        <w:t xml:space="preserve"> costs can be assessed as weak. The greatest impact of COVID-19 on the cost of building materials is seen by the building construction sub-sector, while the greatest impact on </w:t>
      </w:r>
      <w:proofErr w:type="spellStart"/>
      <w:r w:rsidR="00F079BC" w:rsidRPr="007504E6">
        <w:rPr>
          <w:rFonts w:ascii="Times New Roman" w:hAnsi="Times New Roman" w:cs="Times New Roman"/>
          <w:lang w:val="en-GB"/>
        </w:rPr>
        <w:t>labor</w:t>
      </w:r>
      <w:proofErr w:type="spellEnd"/>
      <w:r w:rsidR="00F079BC" w:rsidRPr="007504E6">
        <w:rPr>
          <w:rFonts w:ascii="Times New Roman" w:hAnsi="Times New Roman" w:cs="Times New Roman"/>
          <w:lang w:val="en-GB"/>
        </w:rPr>
        <w:t xml:space="preserve"> costs is seen by experts in the building materials trade</w:t>
      </w:r>
      <w:r w:rsidRPr="007504E6">
        <w:rPr>
          <w:rFonts w:ascii="Times New Roman" w:hAnsi="Times New Roman" w:cs="Times New Roman"/>
          <w:lang w:val="en-GB"/>
        </w:rPr>
        <w:t>.</w:t>
      </w:r>
    </w:p>
    <w:p w14:paraId="760A1596" w14:textId="418E3EE9" w:rsidR="00AB3FFD" w:rsidRPr="007504E6" w:rsidRDefault="006369E8" w:rsidP="002634EB">
      <w:pPr>
        <w:spacing w:line="240" w:lineRule="auto"/>
        <w:ind w:firstLine="0"/>
        <w:rPr>
          <w:rFonts w:ascii="Times New Roman" w:hAnsi="Times New Roman" w:cs="Times New Roman"/>
          <w:lang w:val="en-GB"/>
        </w:rPr>
      </w:pPr>
      <w:r w:rsidRPr="007504E6">
        <w:rPr>
          <w:rFonts w:ascii="Times New Roman" w:hAnsi="Times New Roman" w:cs="Times New Roman"/>
          <w:noProof/>
          <w:lang w:val="en-GB"/>
        </w:rPr>
        <w:drawing>
          <wp:anchor distT="0" distB="0" distL="114300" distR="114300" simplePos="0" relativeHeight="251786240" behindDoc="0" locked="0" layoutInCell="1" allowOverlap="1" wp14:anchorId="2C62C9C3" wp14:editId="3024E635">
            <wp:simplePos x="0" y="0"/>
            <wp:positionH relativeFrom="column">
              <wp:posOffset>-580390</wp:posOffset>
            </wp:positionH>
            <wp:positionV relativeFrom="paragraph">
              <wp:posOffset>294005</wp:posOffset>
            </wp:positionV>
            <wp:extent cx="1209040" cy="1209040"/>
            <wp:effectExtent l="0" t="0" r="0" b="0"/>
            <wp:wrapNone/>
            <wp:docPr id="4" name="Graphic 4" descr="One solid circle, one ring, and one circle filled with diagon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descr="One solid circle, one ring, and one circle filled with diagonal lines"/>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209040" cy="1209040"/>
                    </a:xfrm>
                    <a:prstGeom prst="rect">
                      <a:avLst/>
                    </a:prstGeom>
                  </pic:spPr>
                </pic:pic>
              </a:graphicData>
            </a:graphic>
            <wp14:sizeRelH relativeFrom="margin">
              <wp14:pctWidth>0</wp14:pctWidth>
            </wp14:sizeRelH>
            <wp14:sizeRelV relativeFrom="margin">
              <wp14:pctHeight>0</wp14:pctHeight>
            </wp14:sizeRelV>
          </wp:anchor>
        </w:drawing>
      </w:r>
      <w:r w:rsidR="002634EB" w:rsidRPr="007504E6">
        <w:rPr>
          <w:rFonts w:ascii="Times New Roman" w:hAnsi="Times New Roman" w:cs="Times New Roman"/>
          <w:noProof/>
          <w:color w:val="0D0D0D" w:themeColor="text1" w:themeTint="F2"/>
          <w:sz w:val="16"/>
          <w:szCs w:val="16"/>
          <w:highlight w:val="yellow"/>
          <w:lang w:val="en-GB"/>
        </w:rPr>
        <w:drawing>
          <wp:anchor distT="0" distB="0" distL="114300" distR="114300" simplePos="0" relativeHeight="251693056" behindDoc="0" locked="0" layoutInCell="1" allowOverlap="1" wp14:anchorId="68C527D0" wp14:editId="3301D427">
            <wp:simplePos x="0" y="0"/>
            <wp:positionH relativeFrom="margin">
              <wp:posOffset>92863</wp:posOffset>
            </wp:positionH>
            <wp:positionV relativeFrom="paragraph">
              <wp:posOffset>816498</wp:posOffset>
            </wp:positionV>
            <wp:extent cx="6699288" cy="45719"/>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699288" cy="45719"/>
                    </a:xfrm>
                    <a:prstGeom prst="rect">
                      <a:avLst/>
                    </a:prstGeom>
                  </pic:spPr>
                </pic:pic>
              </a:graphicData>
            </a:graphic>
            <wp14:sizeRelH relativeFrom="margin">
              <wp14:pctWidth>0</wp14:pctWidth>
            </wp14:sizeRelH>
            <wp14:sizeRelV relativeFrom="margin">
              <wp14:pctHeight>0</wp14:pctHeight>
            </wp14:sizeRelV>
          </wp:anchor>
        </w:drawing>
      </w:r>
    </w:p>
    <w:p w14:paraId="029E161D" w14:textId="4412CADF" w:rsidR="001D58B8" w:rsidRPr="007504E6" w:rsidRDefault="00F079BC" w:rsidP="007A3553">
      <w:pPr>
        <w:pStyle w:val="Virsraksts1"/>
        <w:spacing w:line="240" w:lineRule="auto"/>
        <w:rPr>
          <w:rFonts w:ascii="Times New Roman" w:hAnsi="Times New Roman" w:cs="Times New Roman"/>
          <w:color w:val="0D0D0D" w:themeColor="text1" w:themeTint="F2"/>
          <w:lang w:val="en-GB"/>
        </w:rPr>
      </w:pPr>
      <w:bookmarkStart w:id="2" w:name="_Toc77714115"/>
      <w:r w:rsidRPr="007504E6">
        <w:rPr>
          <w:rFonts w:ascii="Times New Roman" w:hAnsi="Times New Roman" w:cs="Times New Roman"/>
          <w:color w:val="0D0D0D" w:themeColor="text1" w:themeTint="F2"/>
          <w:lang w:val="en-GB"/>
        </w:rPr>
        <w:t>PROPOSALS</w:t>
      </w:r>
      <w:bookmarkEnd w:id="2"/>
    </w:p>
    <w:p w14:paraId="39C8D1BC" w14:textId="62D9CBBA" w:rsidR="000366BD" w:rsidRPr="007504E6" w:rsidRDefault="000366BD" w:rsidP="004E5561">
      <w:pPr>
        <w:ind w:firstLine="0"/>
        <w:rPr>
          <w:rFonts w:ascii="Times New Roman" w:hAnsi="Times New Roman" w:cs="Times New Roman"/>
          <w:lang w:val="en-GB"/>
        </w:rPr>
      </w:pPr>
    </w:p>
    <w:p w14:paraId="33B275DE" w14:textId="2F30D180" w:rsidR="00743EE9" w:rsidRPr="007504E6" w:rsidRDefault="006406B0" w:rsidP="00482447">
      <w:pPr>
        <w:spacing w:line="240" w:lineRule="auto"/>
        <w:ind w:firstLine="0"/>
        <w:rPr>
          <w:rFonts w:ascii="Times New Roman" w:hAnsi="Times New Roman" w:cs="Times New Roman"/>
          <w:lang w:val="en-GB"/>
        </w:rPr>
      </w:pPr>
      <w:r w:rsidRPr="007504E6">
        <w:rPr>
          <w:rFonts w:ascii="Times New Roman" w:hAnsi="Times New Roman" w:cs="Times New Roman"/>
          <w:lang w:val="en-GB"/>
        </w:rPr>
        <w:t>Based on the results of the research, expert opinions, development dynamics of the industry and evaluation by researchers, the following proposals are put forward in three blocks</w:t>
      </w:r>
      <w:r w:rsidR="00C319DB" w:rsidRPr="007504E6">
        <w:rPr>
          <w:rFonts w:ascii="Times New Roman" w:hAnsi="Times New Roman" w:cs="Times New Roman"/>
          <w:lang w:val="en-GB"/>
        </w:rPr>
        <w:t>:</w:t>
      </w:r>
    </w:p>
    <w:p w14:paraId="7EE1E440" w14:textId="3AFE79C4" w:rsidR="00BC7142" w:rsidRPr="007504E6" w:rsidRDefault="00BC7142" w:rsidP="00482447">
      <w:pPr>
        <w:spacing w:line="240" w:lineRule="auto"/>
        <w:ind w:firstLine="0"/>
        <w:rPr>
          <w:rFonts w:ascii="Times New Roman" w:hAnsi="Times New Roman" w:cs="Times New Roman"/>
          <w:lang w:val="en-GB"/>
        </w:rPr>
      </w:pPr>
    </w:p>
    <w:p w14:paraId="4F921A43" w14:textId="4CFCF99D" w:rsidR="00BC7142" w:rsidRPr="007504E6" w:rsidRDefault="00BC7142" w:rsidP="00482447">
      <w:pPr>
        <w:spacing w:line="240" w:lineRule="auto"/>
        <w:ind w:firstLine="0"/>
        <w:rPr>
          <w:rFonts w:ascii="Times New Roman" w:hAnsi="Times New Roman" w:cs="Times New Roman"/>
          <w:b/>
          <w:bCs/>
          <w:lang w:val="en-GB"/>
        </w:rPr>
      </w:pPr>
      <w:r w:rsidRPr="007504E6">
        <w:rPr>
          <w:rFonts w:ascii="Times New Roman" w:hAnsi="Times New Roman" w:cs="Times New Roman"/>
          <w:b/>
          <w:bCs/>
          <w:lang w:val="en-GB"/>
        </w:rPr>
        <w:t>Monitor current developments in construction in enhanced detail</w:t>
      </w:r>
    </w:p>
    <w:p w14:paraId="216BCAA0" w14:textId="77777777" w:rsidR="00482447" w:rsidRPr="007504E6" w:rsidRDefault="00482447" w:rsidP="00482447">
      <w:pPr>
        <w:spacing w:line="240" w:lineRule="auto"/>
        <w:ind w:firstLine="0"/>
        <w:rPr>
          <w:rFonts w:ascii="Times New Roman" w:hAnsi="Times New Roman" w:cs="Times New Roman"/>
          <w:lang w:val="en-GB"/>
        </w:rPr>
      </w:pPr>
    </w:p>
    <w:p w14:paraId="6D396EB1" w14:textId="77777777" w:rsidR="00F40315" w:rsidRPr="007504E6" w:rsidRDefault="00F40315" w:rsidP="00F40315">
      <w:pPr>
        <w:pStyle w:val="Sarakstarindkopa"/>
        <w:numPr>
          <w:ilvl w:val="0"/>
          <w:numId w:val="11"/>
        </w:numPr>
        <w:spacing w:line="240" w:lineRule="auto"/>
        <w:rPr>
          <w:rFonts w:ascii="Times New Roman" w:hAnsi="Times New Roman" w:cs="Times New Roman"/>
          <w:lang w:val="en-GB"/>
        </w:rPr>
      </w:pPr>
      <w:r w:rsidRPr="007504E6">
        <w:rPr>
          <w:rFonts w:ascii="Times New Roman" w:hAnsi="Times New Roman" w:cs="Times New Roman"/>
          <w:lang w:val="en-GB"/>
        </w:rPr>
        <w:t>To react promptly by temporarily and in a controlled manner reducing the amount of public procurement or EU funds support if the prices of construction products do not fall or if workers' wages continue to rise.</w:t>
      </w:r>
    </w:p>
    <w:p w14:paraId="4F586234" w14:textId="77777777" w:rsidR="00F40315" w:rsidRPr="007504E6" w:rsidRDefault="00F40315" w:rsidP="00F40315">
      <w:pPr>
        <w:pStyle w:val="Sarakstarindkopa"/>
        <w:spacing w:line="240" w:lineRule="auto"/>
        <w:ind w:left="360" w:firstLine="0"/>
        <w:rPr>
          <w:rFonts w:ascii="Times New Roman" w:hAnsi="Times New Roman" w:cs="Times New Roman"/>
          <w:lang w:val="en-GB"/>
        </w:rPr>
      </w:pPr>
    </w:p>
    <w:p w14:paraId="0CBC3FEF" w14:textId="09B8E6FC" w:rsidR="00F40315" w:rsidRPr="007504E6" w:rsidRDefault="00F40315" w:rsidP="00F40315">
      <w:pPr>
        <w:pStyle w:val="Sarakstarindkopa"/>
        <w:numPr>
          <w:ilvl w:val="0"/>
          <w:numId w:val="11"/>
        </w:numPr>
        <w:spacing w:line="240" w:lineRule="auto"/>
        <w:rPr>
          <w:rFonts w:ascii="Times New Roman" w:hAnsi="Times New Roman" w:cs="Times New Roman"/>
          <w:lang w:val="en-GB"/>
        </w:rPr>
      </w:pPr>
      <w:r w:rsidRPr="007504E6">
        <w:rPr>
          <w:rFonts w:ascii="Times New Roman" w:hAnsi="Times New Roman" w:cs="Times New Roman"/>
          <w:lang w:val="en-GB"/>
        </w:rPr>
        <w:t xml:space="preserve">Competition supervision institutions </w:t>
      </w:r>
      <w:r w:rsidR="00D659B0" w:rsidRPr="007504E6">
        <w:rPr>
          <w:rFonts w:ascii="Times New Roman" w:hAnsi="Times New Roman" w:cs="Times New Roman"/>
          <w:lang w:val="en-GB"/>
        </w:rPr>
        <w:t xml:space="preserve">should </w:t>
      </w:r>
      <w:r w:rsidRPr="007504E6">
        <w:rPr>
          <w:rFonts w:ascii="Times New Roman" w:hAnsi="Times New Roman" w:cs="Times New Roman"/>
          <w:lang w:val="en-GB"/>
        </w:rPr>
        <w:t xml:space="preserve">monitor the compliance of construction material price dynamics with world price dynamics and to investigate cases when the fall in world prices is not followed by a fall in prices in the Latvian market. Increase control </w:t>
      </w:r>
      <w:r w:rsidR="00B30CBC" w:rsidRPr="007504E6">
        <w:rPr>
          <w:rFonts w:ascii="Times New Roman" w:hAnsi="Times New Roman" w:cs="Times New Roman"/>
          <w:lang w:val="en-GB"/>
        </w:rPr>
        <w:t>in</w:t>
      </w:r>
      <w:r w:rsidRPr="007504E6">
        <w:rPr>
          <w:rFonts w:ascii="Times New Roman" w:hAnsi="Times New Roman" w:cs="Times New Roman"/>
          <w:lang w:val="en-GB"/>
        </w:rPr>
        <w:t xml:space="preserve"> categories of construction materials, the production of which involves a low number of production facilities in Latvia, the Baltic region and </w:t>
      </w:r>
      <w:proofErr w:type="spellStart"/>
      <w:r w:rsidRPr="007504E6">
        <w:rPr>
          <w:rFonts w:ascii="Times New Roman" w:hAnsi="Times New Roman" w:cs="Times New Roman"/>
          <w:lang w:val="en-GB"/>
        </w:rPr>
        <w:t>neighboring</w:t>
      </w:r>
      <w:proofErr w:type="spellEnd"/>
      <w:r w:rsidRPr="007504E6">
        <w:rPr>
          <w:rFonts w:ascii="Times New Roman" w:hAnsi="Times New Roman" w:cs="Times New Roman"/>
          <w:lang w:val="en-GB"/>
        </w:rPr>
        <w:t xml:space="preserve"> countries.</w:t>
      </w:r>
    </w:p>
    <w:p w14:paraId="2CED5B8A" w14:textId="77777777" w:rsidR="00F40315" w:rsidRPr="007504E6" w:rsidRDefault="00F40315" w:rsidP="00F40315">
      <w:pPr>
        <w:pStyle w:val="Sarakstarindkopa"/>
        <w:spacing w:line="240" w:lineRule="auto"/>
        <w:ind w:left="360" w:firstLine="0"/>
        <w:rPr>
          <w:rFonts w:ascii="Times New Roman" w:hAnsi="Times New Roman" w:cs="Times New Roman"/>
          <w:lang w:val="en-GB"/>
        </w:rPr>
      </w:pPr>
    </w:p>
    <w:p w14:paraId="1B56DA80" w14:textId="15820866" w:rsidR="00F40315" w:rsidRPr="007504E6" w:rsidRDefault="00F40315" w:rsidP="00F40315">
      <w:pPr>
        <w:pStyle w:val="Sarakstarindkopa"/>
        <w:numPr>
          <w:ilvl w:val="0"/>
          <w:numId w:val="11"/>
        </w:numPr>
        <w:spacing w:line="240" w:lineRule="auto"/>
        <w:rPr>
          <w:rFonts w:ascii="Times New Roman" w:hAnsi="Times New Roman" w:cs="Times New Roman"/>
          <w:lang w:val="en-GB"/>
        </w:rPr>
      </w:pPr>
      <w:r w:rsidRPr="007504E6">
        <w:rPr>
          <w:rFonts w:ascii="Times New Roman" w:hAnsi="Times New Roman" w:cs="Times New Roman"/>
          <w:lang w:val="en-GB"/>
        </w:rPr>
        <w:t>Researchers do not see significant arguments not to continue the planned grant program for infrastructure improvement, because the private construction order component in 2021 is considered to be temporarily increasing due to free funds during the pandemic, but to continue to monitor the situation if operational differs from the forecast.</w:t>
      </w:r>
    </w:p>
    <w:p w14:paraId="3888E308" w14:textId="6B3526B7" w:rsidR="00B30CBC" w:rsidRPr="007504E6" w:rsidRDefault="00B30CBC" w:rsidP="00B30CBC">
      <w:pPr>
        <w:spacing w:line="240" w:lineRule="auto"/>
        <w:rPr>
          <w:rFonts w:ascii="Times New Roman" w:hAnsi="Times New Roman" w:cs="Times New Roman"/>
          <w:lang w:val="en-GB"/>
        </w:rPr>
      </w:pPr>
    </w:p>
    <w:p w14:paraId="4CCE4922" w14:textId="1296F82B" w:rsidR="00B30CBC" w:rsidRPr="007504E6" w:rsidRDefault="00351B6E" w:rsidP="00B30CBC">
      <w:pPr>
        <w:spacing w:line="240" w:lineRule="auto"/>
        <w:ind w:firstLine="0"/>
        <w:rPr>
          <w:rFonts w:ascii="Times New Roman" w:hAnsi="Times New Roman" w:cs="Times New Roman"/>
          <w:b/>
          <w:bCs/>
          <w:lang w:val="en-GB"/>
        </w:rPr>
      </w:pPr>
      <w:r w:rsidRPr="007504E6">
        <w:rPr>
          <w:rFonts w:ascii="Times New Roman" w:hAnsi="Times New Roman" w:cs="Times New Roman"/>
          <w:b/>
          <w:bCs/>
          <w:lang w:val="en-GB"/>
        </w:rPr>
        <w:t>Continue to improve the speed of both statistical and qualitative data received</w:t>
      </w:r>
    </w:p>
    <w:p w14:paraId="44BB36CE" w14:textId="77777777" w:rsidR="00351B6E" w:rsidRPr="007504E6" w:rsidRDefault="00351B6E" w:rsidP="00B30CBC">
      <w:pPr>
        <w:spacing w:line="240" w:lineRule="auto"/>
        <w:ind w:firstLine="0"/>
        <w:rPr>
          <w:rFonts w:ascii="Times New Roman" w:hAnsi="Times New Roman" w:cs="Times New Roman"/>
          <w:lang w:val="en-GB"/>
        </w:rPr>
      </w:pPr>
    </w:p>
    <w:p w14:paraId="7B2AA799" w14:textId="23E2D0C6" w:rsidR="009B5E8F" w:rsidRPr="007504E6" w:rsidRDefault="009B5E8F" w:rsidP="009B5E8F">
      <w:pPr>
        <w:pStyle w:val="Sarakstarindkopa"/>
        <w:numPr>
          <w:ilvl w:val="0"/>
          <w:numId w:val="11"/>
        </w:numPr>
        <w:spacing w:line="240" w:lineRule="auto"/>
        <w:rPr>
          <w:rFonts w:ascii="Times New Roman" w:hAnsi="Times New Roman" w:cs="Times New Roman"/>
          <w:lang w:val="en-GB"/>
        </w:rPr>
      </w:pPr>
      <w:r w:rsidRPr="007504E6">
        <w:rPr>
          <w:rFonts w:ascii="Times New Roman" w:hAnsi="Times New Roman" w:cs="Times New Roman"/>
          <w:lang w:val="en-GB"/>
        </w:rPr>
        <w:t>For timely monitoring of the construction industry, industry researchers should consider using the opportunities provided by the CSB to retrieve data characterizing the development of the construction industry with an application program interface or API.</w:t>
      </w:r>
    </w:p>
    <w:p w14:paraId="4F6FF8B2" w14:textId="77777777" w:rsidR="009B5E8F" w:rsidRPr="007504E6" w:rsidRDefault="009B5E8F" w:rsidP="009B5E8F">
      <w:pPr>
        <w:pStyle w:val="Sarakstarindkopa"/>
        <w:spacing w:line="240" w:lineRule="auto"/>
        <w:ind w:left="360" w:firstLine="0"/>
        <w:rPr>
          <w:rFonts w:ascii="Times New Roman" w:hAnsi="Times New Roman" w:cs="Times New Roman"/>
          <w:lang w:val="en-GB"/>
        </w:rPr>
      </w:pPr>
    </w:p>
    <w:p w14:paraId="1847DC18" w14:textId="5D4B1148" w:rsidR="009B5E8F" w:rsidRPr="007504E6" w:rsidRDefault="009B5E8F" w:rsidP="009B5E8F">
      <w:pPr>
        <w:pStyle w:val="Sarakstarindkopa"/>
        <w:numPr>
          <w:ilvl w:val="0"/>
          <w:numId w:val="11"/>
        </w:numPr>
        <w:spacing w:line="240" w:lineRule="auto"/>
        <w:rPr>
          <w:rFonts w:ascii="Times New Roman" w:hAnsi="Times New Roman" w:cs="Times New Roman"/>
          <w:lang w:val="en-GB"/>
        </w:rPr>
      </w:pPr>
      <w:r w:rsidRPr="007504E6">
        <w:rPr>
          <w:rFonts w:ascii="Times New Roman" w:hAnsi="Times New Roman" w:cs="Times New Roman"/>
          <w:lang w:val="en-GB"/>
        </w:rPr>
        <w:t>Consider introducing regular quarterly or half-yearly forecast reports.</w:t>
      </w:r>
    </w:p>
    <w:p w14:paraId="17D350D9" w14:textId="77777777" w:rsidR="009B5E8F" w:rsidRPr="007504E6" w:rsidRDefault="009B5E8F" w:rsidP="009B5E8F">
      <w:pPr>
        <w:pStyle w:val="Sarakstarindkopa"/>
        <w:spacing w:line="240" w:lineRule="auto"/>
        <w:ind w:left="360" w:firstLine="0"/>
        <w:rPr>
          <w:rFonts w:ascii="Times New Roman" w:hAnsi="Times New Roman" w:cs="Times New Roman"/>
          <w:lang w:val="en-GB"/>
        </w:rPr>
      </w:pPr>
    </w:p>
    <w:p w14:paraId="3FB537CA" w14:textId="64E7B050" w:rsidR="009B5E8F" w:rsidRPr="007504E6" w:rsidRDefault="009B5E8F" w:rsidP="009B5E8F">
      <w:pPr>
        <w:pStyle w:val="Sarakstarindkopa"/>
        <w:numPr>
          <w:ilvl w:val="0"/>
          <w:numId w:val="11"/>
        </w:numPr>
        <w:spacing w:line="240" w:lineRule="auto"/>
        <w:rPr>
          <w:rFonts w:ascii="Times New Roman" w:hAnsi="Times New Roman" w:cs="Times New Roman"/>
          <w:lang w:val="en-GB"/>
        </w:rPr>
      </w:pPr>
      <w:r w:rsidRPr="007504E6">
        <w:rPr>
          <w:rFonts w:ascii="Times New Roman" w:hAnsi="Times New Roman" w:cs="Times New Roman"/>
          <w:lang w:val="en-GB"/>
        </w:rPr>
        <w:t>To improve cooperation between state institutions and organizations representing the construction industry for timely identification of risk situations in connection with fluctuations of certain construction expenditure items</w:t>
      </w:r>
    </w:p>
    <w:p w14:paraId="2763CBB3" w14:textId="45602EB0" w:rsidR="00296842" w:rsidRPr="007504E6" w:rsidRDefault="00296842" w:rsidP="00296842">
      <w:pPr>
        <w:spacing w:line="240" w:lineRule="auto"/>
        <w:rPr>
          <w:rFonts w:ascii="Times New Roman" w:hAnsi="Times New Roman" w:cs="Times New Roman"/>
          <w:lang w:val="en-GB"/>
        </w:rPr>
      </w:pPr>
    </w:p>
    <w:p w14:paraId="4E0560AF" w14:textId="39259AFC" w:rsidR="009B5E8F" w:rsidRPr="007504E6" w:rsidRDefault="00897DCD" w:rsidP="00897DCD">
      <w:pPr>
        <w:pStyle w:val="Sarakstarindkopa"/>
        <w:spacing w:line="240" w:lineRule="auto"/>
        <w:ind w:left="0" w:firstLine="0"/>
        <w:rPr>
          <w:rFonts w:ascii="Times New Roman" w:hAnsi="Times New Roman" w:cs="Times New Roman"/>
          <w:b/>
          <w:bCs/>
          <w:lang w:val="en-GB"/>
        </w:rPr>
      </w:pPr>
      <w:r w:rsidRPr="007504E6">
        <w:rPr>
          <w:rFonts w:ascii="Times New Roman" w:hAnsi="Times New Roman" w:cs="Times New Roman"/>
          <w:b/>
          <w:bCs/>
          <w:lang w:val="en-GB"/>
        </w:rPr>
        <w:t xml:space="preserve">Further develop measures that help reduce the dependence of the construction sector on 3 main influences - rapid fluctuations in volume, </w:t>
      </w:r>
      <w:proofErr w:type="spellStart"/>
      <w:r w:rsidRPr="007504E6">
        <w:rPr>
          <w:rFonts w:ascii="Times New Roman" w:hAnsi="Times New Roman" w:cs="Times New Roman"/>
          <w:b/>
          <w:bCs/>
          <w:lang w:val="en-GB"/>
        </w:rPr>
        <w:t>labor</w:t>
      </w:r>
      <w:proofErr w:type="spellEnd"/>
      <w:r w:rsidRPr="007504E6">
        <w:rPr>
          <w:rFonts w:ascii="Times New Roman" w:hAnsi="Times New Roman" w:cs="Times New Roman"/>
          <w:b/>
          <w:bCs/>
          <w:lang w:val="en-GB"/>
        </w:rPr>
        <w:t xml:space="preserve"> and construction products</w:t>
      </w:r>
    </w:p>
    <w:p w14:paraId="72B78B73" w14:textId="77777777" w:rsidR="00897DCD" w:rsidRPr="007504E6" w:rsidRDefault="00897DCD" w:rsidP="009B5E8F">
      <w:pPr>
        <w:pStyle w:val="Sarakstarindkopa"/>
        <w:spacing w:line="240" w:lineRule="auto"/>
        <w:ind w:left="360" w:firstLine="0"/>
        <w:rPr>
          <w:rFonts w:ascii="Times New Roman" w:hAnsi="Times New Roman" w:cs="Times New Roman"/>
          <w:lang w:val="en-GB"/>
        </w:rPr>
      </w:pPr>
    </w:p>
    <w:p w14:paraId="2E4351CF" w14:textId="7ED21DB2" w:rsidR="00F87396" w:rsidRPr="007504E6" w:rsidRDefault="00F87396" w:rsidP="00F87396">
      <w:pPr>
        <w:pStyle w:val="Sarakstarindkopa"/>
        <w:numPr>
          <w:ilvl w:val="0"/>
          <w:numId w:val="11"/>
        </w:numPr>
        <w:spacing w:line="240" w:lineRule="auto"/>
        <w:rPr>
          <w:rFonts w:ascii="Times New Roman" w:hAnsi="Times New Roman" w:cs="Times New Roman"/>
          <w:lang w:val="en-GB"/>
        </w:rPr>
      </w:pPr>
      <w:r w:rsidRPr="007504E6">
        <w:rPr>
          <w:rFonts w:ascii="Times New Roman" w:hAnsi="Times New Roman" w:cs="Times New Roman"/>
          <w:lang w:val="en-GB"/>
        </w:rPr>
        <w:t xml:space="preserve">Increase the productivity of the construction industry by developing the production of modular products and promoting further automation in order to reduce the share of </w:t>
      </w:r>
      <w:proofErr w:type="spellStart"/>
      <w:r w:rsidRPr="007504E6">
        <w:rPr>
          <w:rFonts w:ascii="Times New Roman" w:hAnsi="Times New Roman" w:cs="Times New Roman"/>
          <w:lang w:val="en-GB"/>
        </w:rPr>
        <w:t>labor</w:t>
      </w:r>
      <w:proofErr w:type="spellEnd"/>
      <w:r w:rsidRPr="007504E6">
        <w:rPr>
          <w:rFonts w:ascii="Times New Roman" w:hAnsi="Times New Roman" w:cs="Times New Roman"/>
          <w:lang w:val="en-GB"/>
        </w:rPr>
        <w:t xml:space="preserve"> costs in construction costs.</w:t>
      </w:r>
    </w:p>
    <w:p w14:paraId="67A64AB0" w14:textId="77777777" w:rsidR="00F87396" w:rsidRPr="007504E6" w:rsidRDefault="00F87396" w:rsidP="00F87396">
      <w:pPr>
        <w:pStyle w:val="Sarakstarindkopa"/>
        <w:spacing w:line="240" w:lineRule="auto"/>
        <w:ind w:left="360" w:firstLine="0"/>
        <w:rPr>
          <w:rFonts w:ascii="Times New Roman" w:hAnsi="Times New Roman" w:cs="Times New Roman"/>
          <w:lang w:val="en-GB"/>
        </w:rPr>
      </w:pPr>
    </w:p>
    <w:p w14:paraId="718C2FA1" w14:textId="2D155BBA" w:rsidR="00F87396" w:rsidRPr="007504E6" w:rsidRDefault="00861520" w:rsidP="00F87396">
      <w:pPr>
        <w:pStyle w:val="Sarakstarindkopa"/>
        <w:numPr>
          <w:ilvl w:val="0"/>
          <w:numId w:val="11"/>
        </w:numPr>
        <w:spacing w:line="240" w:lineRule="auto"/>
        <w:rPr>
          <w:rFonts w:ascii="Times New Roman" w:hAnsi="Times New Roman" w:cs="Times New Roman"/>
          <w:lang w:val="en-GB"/>
        </w:rPr>
      </w:pPr>
      <w:r w:rsidRPr="007504E6">
        <w:rPr>
          <w:rFonts w:ascii="Times New Roman" w:hAnsi="Times New Roman" w:cs="Times New Roman"/>
          <w:lang w:val="en-GB"/>
        </w:rPr>
        <w:t>C</w:t>
      </w:r>
      <w:r w:rsidR="00F87396" w:rsidRPr="007504E6">
        <w:rPr>
          <w:rFonts w:ascii="Times New Roman" w:hAnsi="Times New Roman" w:cs="Times New Roman"/>
          <w:lang w:val="en-GB"/>
        </w:rPr>
        <w:t>ontinue to support the introduction of BIM in the Latvian construction market with the help of technical requirements of public procurement in order to reduce the total costs of construction works and maintenance of structures in the medium and long term.</w:t>
      </w:r>
    </w:p>
    <w:p w14:paraId="2A0C30B2" w14:textId="77777777" w:rsidR="00F87396" w:rsidRPr="007504E6" w:rsidRDefault="00F87396" w:rsidP="00861520">
      <w:pPr>
        <w:pStyle w:val="Sarakstarindkopa"/>
        <w:spacing w:line="240" w:lineRule="auto"/>
        <w:ind w:left="360" w:firstLine="0"/>
        <w:rPr>
          <w:rFonts w:ascii="Times New Roman" w:hAnsi="Times New Roman" w:cs="Times New Roman"/>
          <w:lang w:val="en-GB"/>
        </w:rPr>
      </w:pPr>
    </w:p>
    <w:p w14:paraId="30B4E439" w14:textId="33860116" w:rsidR="00F87396" w:rsidRPr="007504E6" w:rsidRDefault="00861520" w:rsidP="00F87396">
      <w:pPr>
        <w:pStyle w:val="Sarakstarindkopa"/>
        <w:numPr>
          <w:ilvl w:val="0"/>
          <w:numId w:val="11"/>
        </w:numPr>
        <w:spacing w:line="240" w:lineRule="auto"/>
        <w:rPr>
          <w:rFonts w:ascii="Times New Roman" w:hAnsi="Times New Roman" w:cs="Times New Roman"/>
          <w:lang w:val="en-GB"/>
        </w:rPr>
      </w:pPr>
      <w:r w:rsidRPr="007504E6">
        <w:rPr>
          <w:rFonts w:ascii="Times New Roman" w:hAnsi="Times New Roman" w:cs="Times New Roman"/>
          <w:lang w:val="en-GB"/>
        </w:rPr>
        <w:t>I</w:t>
      </w:r>
      <w:r w:rsidR="00F87396" w:rsidRPr="007504E6">
        <w:rPr>
          <w:rFonts w:ascii="Times New Roman" w:hAnsi="Times New Roman" w:cs="Times New Roman"/>
          <w:lang w:val="en-GB"/>
        </w:rPr>
        <w:t>mprove the regulatory framework and popularize the inclusion of construction material costs in the costs of long-term construction projects at the actual price at the time of project implementation.</w:t>
      </w:r>
    </w:p>
    <w:p w14:paraId="26A42418" w14:textId="77777777" w:rsidR="00F87396" w:rsidRPr="007504E6" w:rsidRDefault="00F87396" w:rsidP="00861520">
      <w:pPr>
        <w:pStyle w:val="Sarakstarindkopa"/>
        <w:spacing w:line="240" w:lineRule="auto"/>
        <w:ind w:left="360" w:firstLine="0"/>
        <w:rPr>
          <w:rFonts w:ascii="Times New Roman" w:hAnsi="Times New Roman" w:cs="Times New Roman"/>
          <w:lang w:val="en-GB"/>
        </w:rPr>
      </w:pPr>
    </w:p>
    <w:p w14:paraId="020967D7" w14:textId="094E87A0" w:rsidR="00F87396" w:rsidRPr="007504E6" w:rsidRDefault="00F87396" w:rsidP="00F87396">
      <w:pPr>
        <w:pStyle w:val="Sarakstarindkopa"/>
        <w:numPr>
          <w:ilvl w:val="0"/>
          <w:numId w:val="11"/>
        </w:numPr>
        <w:spacing w:line="240" w:lineRule="auto"/>
        <w:rPr>
          <w:rFonts w:ascii="Times New Roman" w:hAnsi="Times New Roman" w:cs="Times New Roman"/>
          <w:lang w:val="en-GB"/>
        </w:rPr>
      </w:pPr>
      <w:r w:rsidRPr="007504E6">
        <w:rPr>
          <w:rFonts w:ascii="Times New Roman" w:hAnsi="Times New Roman" w:cs="Times New Roman"/>
          <w:lang w:val="en-GB"/>
        </w:rPr>
        <w:t xml:space="preserve">Promptly ease the requirements for employment of foreign </w:t>
      </w:r>
      <w:proofErr w:type="spellStart"/>
      <w:r w:rsidRPr="007504E6">
        <w:rPr>
          <w:rFonts w:ascii="Times New Roman" w:hAnsi="Times New Roman" w:cs="Times New Roman"/>
          <w:lang w:val="en-GB"/>
        </w:rPr>
        <w:t>labor</w:t>
      </w:r>
      <w:proofErr w:type="spellEnd"/>
      <w:r w:rsidRPr="007504E6">
        <w:rPr>
          <w:rFonts w:ascii="Times New Roman" w:hAnsi="Times New Roman" w:cs="Times New Roman"/>
          <w:lang w:val="en-GB"/>
        </w:rPr>
        <w:t xml:space="preserve"> in the construction sector from countries outside the European Union, responding to regular cyclical jumps in construction growth, thus reducing the pressure on </w:t>
      </w:r>
      <w:proofErr w:type="spellStart"/>
      <w:r w:rsidRPr="007504E6">
        <w:rPr>
          <w:rFonts w:ascii="Times New Roman" w:hAnsi="Times New Roman" w:cs="Times New Roman"/>
          <w:lang w:val="en-GB"/>
        </w:rPr>
        <w:t>labor</w:t>
      </w:r>
      <w:proofErr w:type="spellEnd"/>
      <w:r w:rsidRPr="007504E6">
        <w:rPr>
          <w:rFonts w:ascii="Times New Roman" w:hAnsi="Times New Roman" w:cs="Times New Roman"/>
          <w:lang w:val="en-GB"/>
        </w:rPr>
        <w:t xml:space="preserve"> wages caused by </w:t>
      </w:r>
      <w:proofErr w:type="spellStart"/>
      <w:r w:rsidRPr="007504E6">
        <w:rPr>
          <w:rFonts w:ascii="Times New Roman" w:hAnsi="Times New Roman" w:cs="Times New Roman"/>
          <w:lang w:val="en-GB"/>
        </w:rPr>
        <w:t>labor</w:t>
      </w:r>
      <w:proofErr w:type="spellEnd"/>
      <w:r w:rsidRPr="007504E6">
        <w:rPr>
          <w:rFonts w:ascii="Times New Roman" w:hAnsi="Times New Roman" w:cs="Times New Roman"/>
          <w:lang w:val="en-GB"/>
        </w:rPr>
        <w:t xml:space="preserve"> shortages.</w:t>
      </w:r>
    </w:p>
    <w:p w14:paraId="3DE162A5" w14:textId="77777777" w:rsidR="00F87396" w:rsidRPr="007504E6" w:rsidRDefault="00F87396" w:rsidP="00861520">
      <w:pPr>
        <w:pStyle w:val="Sarakstarindkopa"/>
        <w:spacing w:line="240" w:lineRule="auto"/>
        <w:ind w:left="360" w:firstLine="0"/>
        <w:rPr>
          <w:rFonts w:ascii="Times New Roman" w:hAnsi="Times New Roman" w:cs="Times New Roman"/>
          <w:lang w:val="en-GB"/>
        </w:rPr>
      </w:pPr>
    </w:p>
    <w:p w14:paraId="06783D75" w14:textId="62C6980C" w:rsidR="00F87396" w:rsidRPr="007504E6" w:rsidRDefault="00D77362" w:rsidP="00F87396">
      <w:pPr>
        <w:pStyle w:val="Sarakstarindkopa"/>
        <w:numPr>
          <w:ilvl w:val="0"/>
          <w:numId w:val="11"/>
        </w:numPr>
        <w:spacing w:line="240" w:lineRule="auto"/>
        <w:rPr>
          <w:rFonts w:ascii="Times New Roman" w:hAnsi="Times New Roman" w:cs="Times New Roman"/>
          <w:lang w:val="en-GB"/>
        </w:rPr>
      </w:pPr>
      <w:r w:rsidRPr="007504E6">
        <w:rPr>
          <w:rFonts w:ascii="Times New Roman" w:hAnsi="Times New Roman" w:cs="Times New Roman"/>
          <w:lang w:val="en-GB"/>
        </w:rPr>
        <w:t>D</w:t>
      </w:r>
      <w:r w:rsidR="00F87396" w:rsidRPr="007504E6">
        <w:rPr>
          <w:rFonts w:ascii="Times New Roman" w:hAnsi="Times New Roman" w:cs="Times New Roman"/>
          <w:lang w:val="en-GB"/>
        </w:rPr>
        <w:t>evelop qualification improvement programs for the existing participants of the construction industry in order to increase the number of highly qualified employees, as well as to promote retraining of specialists for work in the construction industry, incl. opportunities for lifelong learning programs</w:t>
      </w:r>
    </w:p>
    <w:p w14:paraId="0B57644E" w14:textId="77777777" w:rsidR="00227C6F" w:rsidRPr="007504E6" w:rsidRDefault="00227C6F" w:rsidP="00AE2163">
      <w:pPr>
        <w:spacing w:line="276" w:lineRule="auto"/>
        <w:ind w:firstLine="0"/>
        <w:rPr>
          <w:rFonts w:ascii="Times New Roman" w:hAnsi="Times New Roman" w:cs="Times New Roman"/>
          <w:lang w:val="en-GB"/>
        </w:rPr>
      </w:pPr>
    </w:p>
    <w:p w14:paraId="7DA29D6D" w14:textId="77777777" w:rsidR="002242FF" w:rsidRPr="007504E6" w:rsidRDefault="002242FF" w:rsidP="002242FF">
      <w:pPr>
        <w:spacing w:line="240" w:lineRule="auto"/>
        <w:ind w:firstLine="0"/>
        <w:rPr>
          <w:rFonts w:ascii="Times New Roman" w:eastAsia="Times New Roman" w:hAnsi="Times New Roman" w:cs="Times New Roman"/>
          <w:color w:val="000000"/>
          <w:sz w:val="27"/>
          <w:szCs w:val="27"/>
          <w:lang w:val="en-GB" w:eastAsia="lv-LV"/>
        </w:rPr>
      </w:pPr>
      <w:r w:rsidRPr="007504E6">
        <w:rPr>
          <w:rFonts w:ascii="Times New Roman" w:eastAsia="Times New Roman" w:hAnsi="Times New Roman" w:cs="Times New Roman"/>
          <w:b/>
          <w:bCs/>
          <w:color w:val="000000"/>
          <w:lang w:val="en-GB" w:eastAsia="lv-LV"/>
        </w:rPr>
        <w:t>Suggestions for improving the research methodology</w:t>
      </w:r>
    </w:p>
    <w:p w14:paraId="627E544F" w14:textId="77777777" w:rsidR="002242FF" w:rsidRPr="007504E6" w:rsidRDefault="002242FF" w:rsidP="002242FF">
      <w:pPr>
        <w:spacing w:line="240" w:lineRule="auto"/>
        <w:ind w:firstLine="0"/>
        <w:rPr>
          <w:rFonts w:ascii="Times New Roman" w:eastAsia="Times New Roman" w:hAnsi="Times New Roman" w:cs="Times New Roman"/>
          <w:color w:val="000000"/>
          <w:sz w:val="27"/>
          <w:szCs w:val="27"/>
          <w:lang w:val="en-GB" w:eastAsia="lv-LV"/>
        </w:rPr>
      </w:pPr>
      <w:r w:rsidRPr="007504E6">
        <w:rPr>
          <w:rFonts w:ascii="Times New Roman" w:eastAsia="Times New Roman" w:hAnsi="Times New Roman" w:cs="Times New Roman"/>
          <w:color w:val="000000"/>
          <w:lang w:val="en-GB" w:eastAsia="lv-LV"/>
        </w:rPr>
        <w:t> </w:t>
      </w:r>
    </w:p>
    <w:p w14:paraId="23754254" w14:textId="77777777" w:rsidR="002242FF" w:rsidRPr="007504E6" w:rsidRDefault="002242FF" w:rsidP="002242FF">
      <w:pPr>
        <w:spacing w:line="240" w:lineRule="auto"/>
        <w:ind w:firstLine="0"/>
        <w:rPr>
          <w:rFonts w:ascii="Times New Roman" w:eastAsia="Times New Roman" w:hAnsi="Times New Roman" w:cs="Times New Roman"/>
          <w:color w:val="000000"/>
          <w:sz w:val="27"/>
          <w:szCs w:val="27"/>
          <w:lang w:val="en-GB" w:eastAsia="lv-LV"/>
        </w:rPr>
      </w:pPr>
      <w:r w:rsidRPr="007504E6">
        <w:rPr>
          <w:rFonts w:ascii="Times New Roman" w:eastAsia="Times New Roman" w:hAnsi="Times New Roman" w:cs="Times New Roman"/>
          <w:color w:val="000000"/>
          <w:lang w:val="en-GB" w:eastAsia="lv-LV"/>
        </w:rPr>
        <w:t>Reports from previous years show that forecasts have been obtained with high reliability, despite drastic fluctuations in the construction sector. The forecasts obtained in 2020, despite the pronounced economic uncertainty and the state of emergency in the country, differed in the volume forecasts by only 0.4 pp and in the cost forecasts by only 1.4 pp.</w:t>
      </w:r>
    </w:p>
    <w:p w14:paraId="647E4C02" w14:textId="77777777" w:rsidR="002242FF" w:rsidRPr="007504E6" w:rsidRDefault="002242FF" w:rsidP="002242FF">
      <w:pPr>
        <w:spacing w:line="240" w:lineRule="auto"/>
        <w:ind w:firstLine="0"/>
        <w:rPr>
          <w:rFonts w:ascii="Times New Roman" w:eastAsia="Times New Roman" w:hAnsi="Times New Roman" w:cs="Times New Roman"/>
          <w:color w:val="000000"/>
          <w:sz w:val="27"/>
          <w:szCs w:val="27"/>
          <w:lang w:val="en-GB" w:eastAsia="lv-LV"/>
        </w:rPr>
      </w:pPr>
      <w:r w:rsidRPr="007504E6">
        <w:rPr>
          <w:rFonts w:ascii="Times New Roman" w:eastAsia="Times New Roman" w:hAnsi="Times New Roman" w:cs="Times New Roman"/>
          <w:color w:val="000000"/>
          <w:lang w:val="en-GB" w:eastAsia="lv-LV"/>
        </w:rPr>
        <w:t> </w:t>
      </w:r>
    </w:p>
    <w:p w14:paraId="5C36CB1B" w14:textId="25587E18" w:rsidR="002242FF" w:rsidRPr="007504E6" w:rsidRDefault="002242FF" w:rsidP="002242FF">
      <w:pPr>
        <w:spacing w:line="240" w:lineRule="auto"/>
        <w:ind w:firstLine="0"/>
        <w:rPr>
          <w:rFonts w:ascii="Times New Roman" w:eastAsia="Times New Roman" w:hAnsi="Times New Roman" w:cs="Times New Roman"/>
          <w:color w:val="000000"/>
          <w:sz w:val="27"/>
          <w:szCs w:val="27"/>
          <w:lang w:val="en-GB" w:eastAsia="lv-LV"/>
        </w:rPr>
      </w:pPr>
      <w:r w:rsidRPr="007504E6">
        <w:rPr>
          <w:rFonts w:ascii="Times New Roman" w:eastAsia="Times New Roman" w:hAnsi="Times New Roman" w:cs="Times New Roman"/>
          <w:color w:val="000000"/>
          <w:lang w:val="en-GB" w:eastAsia="lv-LV"/>
        </w:rPr>
        <w:t xml:space="preserve">It is recommended </w:t>
      </w:r>
      <w:r w:rsidR="00C437BA" w:rsidRPr="007504E6">
        <w:rPr>
          <w:rFonts w:ascii="Times New Roman" w:eastAsia="Times New Roman" w:hAnsi="Times New Roman" w:cs="Times New Roman"/>
          <w:color w:val="000000"/>
          <w:lang w:val="en-GB" w:eastAsia="lv-LV"/>
        </w:rPr>
        <w:t>to</w:t>
      </w:r>
      <w:r w:rsidRPr="007504E6">
        <w:rPr>
          <w:rFonts w:ascii="Times New Roman" w:eastAsia="Times New Roman" w:hAnsi="Times New Roman" w:cs="Times New Roman"/>
          <w:color w:val="000000"/>
          <w:lang w:val="en-GB" w:eastAsia="lv-LV"/>
        </w:rPr>
        <w:t xml:space="preserve"> </w:t>
      </w:r>
      <w:r w:rsidR="002431D2" w:rsidRPr="007504E6">
        <w:rPr>
          <w:rFonts w:ascii="Times New Roman" w:eastAsia="Times New Roman" w:hAnsi="Times New Roman" w:cs="Times New Roman"/>
          <w:color w:val="000000"/>
          <w:lang w:val="en-GB" w:eastAsia="lv-LV"/>
        </w:rPr>
        <w:t xml:space="preserve">complement the </w:t>
      </w:r>
      <w:r w:rsidRPr="007504E6">
        <w:rPr>
          <w:rFonts w:ascii="Times New Roman" w:eastAsia="Times New Roman" w:hAnsi="Times New Roman" w:cs="Times New Roman"/>
          <w:color w:val="000000"/>
          <w:lang w:val="en-GB" w:eastAsia="lv-LV"/>
        </w:rPr>
        <w:t xml:space="preserve">methodology </w:t>
      </w:r>
      <w:r w:rsidR="00C437BA" w:rsidRPr="007504E6">
        <w:rPr>
          <w:rFonts w:ascii="Times New Roman" w:eastAsia="Times New Roman" w:hAnsi="Times New Roman" w:cs="Times New Roman"/>
          <w:color w:val="000000"/>
          <w:lang w:val="en-GB" w:eastAsia="lv-LV"/>
        </w:rPr>
        <w:t xml:space="preserve">with </w:t>
      </w:r>
      <w:r w:rsidRPr="007504E6">
        <w:rPr>
          <w:rFonts w:ascii="Times New Roman" w:eastAsia="Times New Roman" w:hAnsi="Times New Roman" w:cs="Times New Roman"/>
          <w:color w:val="000000"/>
          <w:lang w:val="en-GB" w:eastAsia="lv-LV"/>
        </w:rPr>
        <w:t>the following sub-classification </w:t>
      </w:r>
      <w:r w:rsidR="00C437BA" w:rsidRPr="007504E6">
        <w:rPr>
          <w:rFonts w:ascii="Times New Roman" w:eastAsia="Times New Roman" w:hAnsi="Times New Roman" w:cs="Times New Roman"/>
          <w:color w:val="000000"/>
          <w:lang w:val="en-GB" w:eastAsia="lv-LV"/>
        </w:rPr>
        <w:t xml:space="preserve">of </w:t>
      </w:r>
      <w:r w:rsidRPr="007504E6">
        <w:rPr>
          <w:rFonts w:ascii="Times New Roman" w:eastAsia="Times New Roman" w:hAnsi="Times New Roman" w:cs="Times New Roman"/>
          <w:color w:val="000000"/>
          <w:lang w:val="en-GB" w:eastAsia="lv-LV"/>
        </w:rPr>
        <w:t>expert</w:t>
      </w:r>
      <w:r w:rsidR="00C437BA" w:rsidRPr="007504E6">
        <w:rPr>
          <w:rFonts w:ascii="Times New Roman" w:eastAsia="Times New Roman" w:hAnsi="Times New Roman" w:cs="Times New Roman"/>
          <w:color w:val="000000"/>
          <w:lang w:val="en-GB" w:eastAsia="lv-LV"/>
        </w:rPr>
        <w:t>s</w:t>
      </w:r>
      <w:r w:rsidRPr="007504E6">
        <w:rPr>
          <w:rFonts w:ascii="Times New Roman" w:eastAsia="Times New Roman" w:hAnsi="Times New Roman" w:cs="Times New Roman"/>
          <w:color w:val="000000"/>
          <w:lang w:val="en-GB" w:eastAsia="lv-LV"/>
        </w:rPr>
        <w:t xml:space="preserve">, supplemented by materials producers and traders' </w:t>
      </w:r>
      <w:r w:rsidR="00BB3C58" w:rsidRPr="007504E6">
        <w:rPr>
          <w:rFonts w:ascii="Times New Roman" w:eastAsia="Times New Roman" w:hAnsi="Times New Roman" w:cs="Times New Roman"/>
          <w:color w:val="000000"/>
          <w:lang w:val="en-GB" w:eastAsia="lv-LV"/>
        </w:rPr>
        <w:t>representatives:</w:t>
      </w:r>
    </w:p>
    <w:p w14:paraId="3D1AB79B" w14:textId="09B6C111" w:rsidR="002242FF" w:rsidRPr="007504E6" w:rsidRDefault="002242FF" w:rsidP="00D64210">
      <w:pPr>
        <w:numPr>
          <w:ilvl w:val="0"/>
          <w:numId w:val="24"/>
        </w:numPr>
        <w:spacing w:line="240" w:lineRule="auto"/>
        <w:ind w:left="1334" w:firstLine="0"/>
        <w:rPr>
          <w:rFonts w:ascii="Times New Roman" w:eastAsia="Times New Roman" w:hAnsi="Times New Roman" w:cs="Times New Roman"/>
          <w:color w:val="000000"/>
          <w:lang w:val="en-GB" w:eastAsia="lv-LV"/>
        </w:rPr>
      </w:pPr>
      <w:r w:rsidRPr="007504E6">
        <w:rPr>
          <w:rFonts w:ascii="Times New Roman" w:eastAsia="Times New Roman" w:hAnsi="Times New Roman" w:cs="Times New Roman"/>
          <w:color w:val="000000"/>
          <w:lang w:val="en-GB" w:eastAsia="lv-LV"/>
        </w:rPr>
        <w:t xml:space="preserve">Construction of residential and non-residential </w:t>
      </w:r>
      <w:r w:rsidR="00BB3C58" w:rsidRPr="007504E6">
        <w:rPr>
          <w:rFonts w:ascii="Times New Roman" w:eastAsia="Times New Roman" w:hAnsi="Times New Roman" w:cs="Times New Roman"/>
          <w:color w:val="000000"/>
          <w:lang w:val="en-GB" w:eastAsia="lv-LV"/>
        </w:rPr>
        <w:t>buildings;</w:t>
      </w:r>
    </w:p>
    <w:p w14:paraId="45028542" w14:textId="1CEE42EF" w:rsidR="002242FF" w:rsidRPr="007504E6" w:rsidRDefault="00BB3C58" w:rsidP="00D64210">
      <w:pPr>
        <w:numPr>
          <w:ilvl w:val="0"/>
          <w:numId w:val="24"/>
        </w:numPr>
        <w:spacing w:line="240" w:lineRule="auto"/>
        <w:ind w:left="1334" w:firstLine="0"/>
        <w:rPr>
          <w:rFonts w:ascii="Times New Roman" w:eastAsia="Times New Roman" w:hAnsi="Times New Roman" w:cs="Times New Roman"/>
          <w:color w:val="000000"/>
          <w:lang w:val="en-GB" w:eastAsia="lv-LV"/>
        </w:rPr>
      </w:pPr>
      <w:r w:rsidRPr="007504E6">
        <w:rPr>
          <w:rFonts w:ascii="Times New Roman" w:eastAsia="Times New Roman" w:hAnsi="Times New Roman" w:cs="Times New Roman"/>
          <w:color w:val="000000"/>
          <w:lang w:val="en-GB" w:eastAsia="lv-LV"/>
        </w:rPr>
        <w:t>Transport facilities</w:t>
      </w:r>
      <w:r w:rsidR="002242FF" w:rsidRPr="007504E6">
        <w:rPr>
          <w:rFonts w:ascii="Times New Roman" w:eastAsia="Times New Roman" w:hAnsi="Times New Roman" w:cs="Times New Roman"/>
          <w:color w:val="000000"/>
          <w:lang w:val="en-GB" w:eastAsia="lv-LV"/>
        </w:rPr>
        <w:t xml:space="preserve"> construction (</w:t>
      </w:r>
      <w:r w:rsidRPr="007504E6">
        <w:rPr>
          <w:rFonts w:ascii="Times New Roman" w:eastAsia="Times New Roman" w:hAnsi="Times New Roman" w:cs="Times New Roman"/>
          <w:color w:val="000000"/>
          <w:lang w:val="en-GB" w:eastAsia="lv-LV"/>
        </w:rPr>
        <w:t>i.e.</w:t>
      </w:r>
      <w:r w:rsidR="002242FF" w:rsidRPr="007504E6">
        <w:rPr>
          <w:rFonts w:ascii="Times New Roman" w:eastAsia="Times New Roman" w:hAnsi="Times New Roman" w:cs="Times New Roman"/>
          <w:color w:val="000000"/>
          <w:lang w:val="en-GB" w:eastAsia="lv-LV"/>
        </w:rPr>
        <w:t> </w:t>
      </w:r>
      <w:r w:rsidR="0081174A" w:rsidRPr="007504E6">
        <w:rPr>
          <w:rFonts w:ascii="Times New Roman" w:eastAsia="Times New Roman" w:hAnsi="Times New Roman" w:cs="Times New Roman"/>
          <w:color w:val="000000"/>
          <w:lang w:val="en-GB" w:eastAsia="lv-LV"/>
        </w:rPr>
        <w:t>roads</w:t>
      </w:r>
      <w:r w:rsidR="002242FF" w:rsidRPr="007504E6">
        <w:rPr>
          <w:rFonts w:ascii="Times New Roman" w:eastAsia="Times New Roman" w:hAnsi="Times New Roman" w:cs="Times New Roman"/>
          <w:color w:val="000000"/>
          <w:lang w:val="en-GB" w:eastAsia="lv-LV"/>
        </w:rPr>
        <w:t xml:space="preserve"> and motorways,</w:t>
      </w:r>
      <w:r w:rsidR="0081174A" w:rsidRPr="007504E6">
        <w:rPr>
          <w:rFonts w:ascii="Times New Roman" w:eastAsia="Times New Roman" w:hAnsi="Times New Roman" w:cs="Times New Roman"/>
          <w:color w:val="000000"/>
          <w:lang w:val="en-GB" w:eastAsia="lv-LV"/>
        </w:rPr>
        <w:t xml:space="preserve"> </w:t>
      </w:r>
      <w:r w:rsidR="002242FF" w:rsidRPr="007504E6">
        <w:rPr>
          <w:rFonts w:ascii="Times New Roman" w:eastAsia="Times New Roman" w:hAnsi="Times New Roman" w:cs="Times New Roman"/>
          <w:color w:val="000000"/>
          <w:lang w:val="en-GB" w:eastAsia="lv-LV"/>
        </w:rPr>
        <w:t xml:space="preserve">railway and subway construction, bridges and tunnels, </w:t>
      </w:r>
      <w:r w:rsidR="008C5769" w:rsidRPr="007504E6">
        <w:rPr>
          <w:rFonts w:ascii="Times New Roman" w:eastAsia="Times New Roman" w:hAnsi="Times New Roman" w:cs="Times New Roman"/>
          <w:color w:val="000000"/>
          <w:lang w:val="en-GB" w:eastAsia="lv-LV"/>
        </w:rPr>
        <w:t>urban infrastructure</w:t>
      </w:r>
      <w:r w:rsidRPr="007504E6">
        <w:rPr>
          <w:rFonts w:ascii="Times New Roman" w:eastAsia="Times New Roman" w:hAnsi="Times New Roman" w:cs="Times New Roman"/>
          <w:color w:val="000000"/>
          <w:lang w:val="en-GB" w:eastAsia="lv-LV"/>
        </w:rPr>
        <w:t>);</w:t>
      </w:r>
    </w:p>
    <w:p w14:paraId="0CBF078D" w14:textId="08C4413A" w:rsidR="002242FF" w:rsidRPr="007504E6" w:rsidRDefault="002242FF" w:rsidP="00D64210">
      <w:pPr>
        <w:numPr>
          <w:ilvl w:val="0"/>
          <w:numId w:val="24"/>
        </w:numPr>
        <w:spacing w:line="240" w:lineRule="auto"/>
        <w:ind w:left="1334" w:firstLine="0"/>
        <w:rPr>
          <w:rFonts w:ascii="Times New Roman" w:eastAsia="Times New Roman" w:hAnsi="Times New Roman" w:cs="Times New Roman"/>
          <w:color w:val="000000"/>
          <w:lang w:val="en-GB" w:eastAsia="lv-LV"/>
        </w:rPr>
      </w:pPr>
      <w:r w:rsidRPr="007504E6">
        <w:rPr>
          <w:rFonts w:ascii="Times New Roman" w:eastAsia="Times New Roman" w:hAnsi="Times New Roman" w:cs="Times New Roman"/>
          <w:color w:val="000000"/>
          <w:lang w:val="en-GB" w:eastAsia="lv-LV"/>
        </w:rPr>
        <w:t>Specialized construction sub-</w:t>
      </w:r>
      <w:r w:rsidR="00BB3C58" w:rsidRPr="007504E6">
        <w:rPr>
          <w:rFonts w:ascii="Times New Roman" w:eastAsia="Times New Roman" w:hAnsi="Times New Roman" w:cs="Times New Roman"/>
          <w:color w:val="000000"/>
          <w:lang w:val="en-GB" w:eastAsia="lv-LV"/>
        </w:rPr>
        <w:t>sector;</w:t>
      </w:r>
    </w:p>
    <w:p w14:paraId="17916625" w14:textId="0D52682C" w:rsidR="002242FF" w:rsidRPr="007504E6" w:rsidRDefault="002242FF" w:rsidP="00D64210">
      <w:pPr>
        <w:numPr>
          <w:ilvl w:val="0"/>
          <w:numId w:val="24"/>
        </w:numPr>
        <w:spacing w:line="240" w:lineRule="auto"/>
        <w:ind w:left="1334" w:firstLine="0"/>
        <w:rPr>
          <w:rFonts w:ascii="Times New Roman" w:eastAsia="Times New Roman" w:hAnsi="Times New Roman" w:cs="Times New Roman"/>
          <w:color w:val="000000"/>
          <w:lang w:val="en-GB" w:eastAsia="lv-LV"/>
        </w:rPr>
      </w:pPr>
      <w:r w:rsidRPr="007504E6">
        <w:rPr>
          <w:rFonts w:ascii="Times New Roman" w:eastAsia="Times New Roman" w:hAnsi="Times New Roman" w:cs="Times New Roman"/>
          <w:color w:val="000000"/>
          <w:lang w:val="en-GB" w:eastAsia="lv-LV"/>
        </w:rPr>
        <w:t xml:space="preserve">Architectural and engineering activities and technical testing and </w:t>
      </w:r>
      <w:r w:rsidR="00BB3C58" w:rsidRPr="007504E6">
        <w:rPr>
          <w:rFonts w:ascii="Times New Roman" w:eastAsia="Times New Roman" w:hAnsi="Times New Roman" w:cs="Times New Roman"/>
          <w:color w:val="000000"/>
          <w:lang w:val="en-GB" w:eastAsia="lv-LV"/>
        </w:rPr>
        <w:t>analysis;</w:t>
      </w:r>
    </w:p>
    <w:p w14:paraId="062852E4" w14:textId="77777777" w:rsidR="005A0FB8" w:rsidRPr="007504E6" w:rsidRDefault="002242FF" w:rsidP="00D64210">
      <w:pPr>
        <w:numPr>
          <w:ilvl w:val="0"/>
          <w:numId w:val="24"/>
        </w:numPr>
        <w:spacing w:line="240" w:lineRule="auto"/>
        <w:ind w:left="1334" w:firstLine="0"/>
        <w:rPr>
          <w:rFonts w:ascii="Times New Roman" w:eastAsia="Times New Roman" w:hAnsi="Times New Roman" w:cs="Times New Roman"/>
          <w:color w:val="000000"/>
          <w:lang w:val="en-GB" w:eastAsia="lv-LV"/>
        </w:rPr>
      </w:pPr>
      <w:r w:rsidRPr="007504E6">
        <w:rPr>
          <w:rFonts w:ascii="Times New Roman" w:eastAsia="Times New Roman" w:hAnsi="Times New Roman" w:cs="Times New Roman"/>
          <w:color w:val="000000"/>
          <w:lang w:val="en-GB" w:eastAsia="lv-LV"/>
        </w:rPr>
        <w:t xml:space="preserve">Manufacturers and traders of construction </w:t>
      </w:r>
      <w:r w:rsidR="00BB3C58" w:rsidRPr="007504E6">
        <w:rPr>
          <w:rFonts w:ascii="Times New Roman" w:eastAsia="Times New Roman" w:hAnsi="Times New Roman" w:cs="Times New Roman"/>
          <w:color w:val="000000"/>
          <w:lang w:val="en-GB" w:eastAsia="lv-LV"/>
        </w:rPr>
        <w:t>materials</w:t>
      </w:r>
      <w:r w:rsidR="005A0FB8" w:rsidRPr="007504E6">
        <w:rPr>
          <w:rFonts w:ascii="Times New Roman" w:eastAsia="Times New Roman" w:hAnsi="Times New Roman" w:cs="Times New Roman"/>
          <w:color w:val="000000"/>
          <w:lang w:val="en-GB" w:eastAsia="lv-LV"/>
        </w:rPr>
        <w:t>;</w:t>
      </w:r>
    </w:p>
    <w:p w14:paraId="40085C94" w14:textId="6D2C62D8" w:rsidR="002242FF" w:rsidRPr="007504E6" w:rsidRDefault="005A0FB8" w:rsidP="00D64210">
      <w:pPr>
        <w:numPr>
          <w:ilvl w:val="0"/>
          <w:numId w:val="24"/>
        </w:numPr>
        <w:spacing w:line="240" w:lineRule="auto"/>
        <w:ind w:left="1334" w:firstLine="0"/>
        <w:rPr>
          <w:rFonts w:ascii="Times New Roman" w:eastAsia="Times New Roman" w:hAnsi="Times New Roman" w:cs="Times New Roman"/>
          <w:color w:val="000000"/>
          <w:lang w:val="en-GB" w:eastAsia="lv-LV"/>
        </w:rPr>
      </w:pPr>
      <w:r w:rsidRPr="007504E6">
        <w:rPr>
          <w:rFonts w:ascii="Times New Roman" w:eastAsia="Times New Roman" w:hAnsi="Times New Roman" w:cs="Times New Roman"/>
          <w:color w:val="000000"/>
          <w:lang w:val="en-GB" w:eastAsia="lv-LV"/>
        </w:rPr>
        <w:t>Construction equipment rental service providers</w:t>
      </w:r>
      <w:r w:rsidR="00BB3C58" w:rsidRPr="007504E6">
        <w:rPr>
          <w:rFonts w:ascii="Times New Roman" w:eastAsia="Times New Roman" w:hAnsi="Times New Roman" w:cs="Times New Roman"/>
          <w:color w:val="000000"/>
          <w:lang w:val="en-GB" w:eastAsia="lv-LV"/>
        </w:rPr>
        <w:t>.</w:t>
      </w:r>
    </w:p>
    <w:p w14:paraId="1BD46A04" w14:textId="77777777" w:rsidR="002242FF" w:rsidRPr="007504E6" w:rsidRDefault="002242FF" w:rsidP="002242FF">
      <w:pPr>
        <w:spacing w:line="240" w:lineRule="auto"/>
        <w:ind w:firstLine="0"/>
        <w:rPr>
          <w:rFonts w:ascii="Times New Roman" w:eastAsia="Times New Roman" w:hAnsi="Times New Roman" w:cs="Times New Roman"/>
          <w:color w:val="000000"/>
          <w:sz w:val="27"/>
          <w:szCs w:val="27"/>
          <w:lang w:val="en-GB" w:eastAsia="lv-LV"/>
        </w:rPr>
      </w:pPr>
      <w:r w:rsidRPr="007504E6">
        <w:rPr>
          <w:rFonts w:ascii="Times New Roman" w:eastAsia="Times New Roman" w:hAnsi="Times New Roman" w:cs="Times New Roman"/>
          <w:color w:val="000000"/>
          <w:lang w:val="en-GB" w:eastAsia="lv-LV"/>
        </w:rPr>
        <w:t> </w:t>
      </w:r>
    </w:p>
    <w:p w14:paraId="65859A15" w14:textId="598F713E" w:rsidR="00ED3874" w:rsidRPr="007504E6" w:rsidRDefault="002242FF" w:rsidP="002242FF">
      <w:pPr>
        <w:spacing w:line="240" w:lineRule="auto"/>
        <w:ind w:firstLine="0"/>
        <w:rPr>
          <w:rFonts w:ascii="Times New Roman" w:eastAsia="Times New Roman" w:hAnsi="Times New Roman" w:cs="Times New Roman"/>
          <w:color w:val="000000"/>
          <w:lang w:val="en-GB" w:eastAsia="lv-LV"/>
        </w:rPr>
      </w:pPr>
      <w:r w:rsidRPr="007504E6">
        <w:rPr>
          <w:rFonts w:ascii="Times New Roman" w:eastAsia="Times New Roman" w:hAnsi="Times New Roman" w:cs="Times New Roman"/>
          <w:color w:val="000000"/>
          <w:lang w:val="en-GB" w:eastAsia="lv-LV"/>
        </w:rPr>
        <w:t xml:space="preserve">In conducting </w:t>
      </w:r>
      <w:r w:rsidR="00F0419C" w:rsidRPr="007504E6">
        <w:rPr>
          <w:rFonts w:ascii="Times New Roman" w:eastAsia="Times New Roman" w:hAnsi="Times New Roman" w:cs="Times New Roman"/>
          <w:color w:val="000000"/>
          <w:lang w:val="en-GB" w:eastAsia="lv-LV"/>
        </w:rPr>
        <w:t>the study</w:t>
      </w:r>
      <w:r w:rsidRPr="007504E6">
        <w:rPr>
          <w:rFonts w:ascii="Times New Roman" w:eastAsia="Times New Roman" w:hAnsi="Times New Roman" w:cs="Times New Roman"/>
          <w:color w:val="000000"/>
          <w:lang w:val="en-GB" w:eastAsia="lv-LV"/>
        </w:rPr>
        <w:t xml:space="preserve"> in 2021, the authors were confronted with the strong impact of Covid-19 measures and a relatively larger situation of heterogeneity, marked by sharp fluctuations in the components of construction. The development of the industry in the last 24-36 months is associated with a very unstable development, characterized by sharp changes in development vectors, which, according to international economists, may continue for the next 2-5 years, stabilizing the new post-pandemic economic rhythms. In such circumstances, statistical forecasts are too moderate, but expert forecasts are extremely rapid. In such situations, the annual cut is often outdated for planning topical political actions. Thus, for increasingly accurate forecasts, it is recommended to develop and implement a semi-</w:t>
      </w:r>
      <w:r w:rsidR="00F0419C" w:rsidRPr="007504E6">
        <w:rPr>
          <w:rFonts w:ascii="Times New Roman" w:eastAsia="Times New Roman" w:hAnsi="Times New Roman" w:cs="Times New Roman"/>
          <w:color w:val="000000"/>
          <w:lang w:val="en-GB" w:eastAsia="lv-LV"/>
        </w:rPr>
        <w:t>automatic,</w:t>
      </w:r>
      <w:r w:rsidRPr="007504E6">
        <w:rPr>
          <w:rFonts w:ascii="Times New Roman" w:eastAsia="Times New Roman" w:hAnsi="Times New Roman" w:cs="Times New Roman"/>
          <w:color w:val="000000"/>
          <w:lang w:val="en-GB" w:eastAsia="lv-LV"/>
        </w:rPr>
        <w:t xml:space="preserve"> operational forecasting model for monitoring the volume and costs of construction semi-annually or </w:t>
      </w:r>
      <w:r w:rsidR="00F0419C" w:rsidRPr="007504E6">
        <w:rPr>
          <w:rFonts w:ascii="Times New Roman" w:eastAsia="Times New Roman" w:hAnsi="Times New Roman" w:cs="Times New Roman"/>
          <w:color w:val="000000"/>
          <w:lang w:val="en-GB" w:eastAsia="lv-LV"/>
        </w:rPr>
        <w:t>quarterly,</w:t>
      </w:r>
      <w:r w:rsidRPr="007504E6">
        <w:rPr>
          <w:rFonts w:ascii="Times New Roman" w:eastAsia="Times New Roman" w:hAnsi="Times New Roman" w:cs="Times New Roman"/>
          <w:color w:val="000000"/>
          <w:lang w:val="en-GB" w:eastAsia="lv-LV"/>
        </w:rPr>
        <w:t> which will facilitate obtaining increasingly high-quality forecasts based on the most recent quarterly and semi-annual developments</w:t>
      </w:r>
      <w:r w:rsidR="00F67E2E" w:rsidRPr="007504E6">
        <w:rPr>
          <w:rFonts w:ascii="Times New Roman" w:eastAsia="Times New Roman" w:hAnsi="Times New Roman" w:cs="Times New Roman"/>
          <w:color w:val="000000"/>
          <w:lang w:val="en-GB" w:eastAsia="lv-LV"/>
        </w:rPr>
        <w:t xml:space="preserve">. </w:t>
      </w:r>
    </w:p>
    <w:p w14:paraId="30393F89" w14:textId="77777777" w:rsidR="00F67E2E" w:rsidRPr="007504E6" w:rsidRDefault="00F67E2E" w:rsidP="00AE2163">
      <w:pPr>
        <w:spacing w:line="276" w:lineRule="auto"/>
        <w:ind w:firstLine="0"/>
        <w:rPr>
          <w:rFonts w:ascii="Times New Roman" w:hAnsi="Times New Roman" w:cs="Times New Roman"/>
          <w:lang w:val="en-GB"/>
        </w:rPr>
      </w:pPr>
    </w:p>
    <w:p w14:paraId="372EAE0A" w14:textId="767E8DAA" w:rsidR="00DF1DB4" w:rsidRPr="007504E6" w:rsidRDefault="00563852" w:rsidP="00D64210">
      <w:pPr>
        <w:pStyle w:val="Virsraksts1"/>
        <w:numPr>
          <w:ilvl w:val="0"/>
          <w:numId w:val="5"/>
        </w:numPr>
        <w:spacing w:line="240" w:lineRule="auto"/>
        <w:ind w:firstLine="0"/>
        <w:rPr>
          <w:rFonts w:ascii="Times New Roman" w:hAnsi="Times New Roman" w:cs="Times New Roman"/>
          <w:color w:val="262626" w:themeColor="text1" w:themeTint="D9"/>
          <w:lang w:val="en-GB"/>
        </w:rPr>
      </w:pPr>
      <w:bookmarkStart w:id="3" w:name="_Toc77714116"/>
      <w:bookmarkStart w:id="4" w:name="_Toc51405350"/>
      <w:r w:rsidRPr="007504E6">
        <w:rPr>
          <w:rFonts w:ascii="Times New Roman" w:hAnsi="Times New Roman" w:cs="Times New Roman"/>
          <w:color w:val="262626" w:themeColor="text1" w:themeTint="D9"/>
          <w:lang w:val="en-GB"/>
        </w:rPr>
        <w:t>Analysis of the results and data of the general and sub-sectoral expert survey</w:t>
      </w:r>
      <w:bookmarkEnd w:id="3"/>
      <w:r w:rsidRPr="007504E6">
        <w:rPr>
          <w:rFonts w:ascii="Times New Roman" w:hAnsi="Times New Roman" w:cs="Times New Roman"/>
          <w:color w:val="262626" w:themeColor="text1" w:themeTint="D9"/>
          <w:lang w:val="en-GB"/>
        </w:rPr>
        <w:t xml:space="preserve"> </w:t>
      </w:r>
    </w:p>
    <w:p w14:paraId="402CA68B" w14:textId="67F09725" w:rsidR="00BA0AB7" w:rsidRPr="007504E6" w:rsidRDefault="00BA0AB7" w:rsidP="00BA0AB7">
      <w:pPr>
        <w:rPr>
          <w:rFonts w:ascii="Times New Roman" w:hAnsi="Times New Roman" w:cs="Times New Roman"/>
          <w:color w:val="262626" w:themeColor="text1" w:themeTint="D9"/>
          <w:lang w:val="en-GB"/>
        </w:rPr>
      </w:pPr>
    </w:p>
    <w:p w14:paraId="4F36F0D1" w14:textId="161466B6" w:rsidR="00AE5141" w:rsidRPr="007504E6" w:rsidRDefault="00AE535A" w:rsidP="00D64210">
      <w:pPr>
        <w:pStyle w:val="Virsraksts2"/>
        <w:numPr>
          <w:ilvl w:val="1"/>
          <w:numId w:val="5"/>
        </w:numPr>
        <w:rPr>
          <w:rFonts w:ascii="Times New Roman" w:hAnsi="Times New Roman" w:cs="Times New Roman"/>
          <w:b/>
          <w:bCs/>
          <w:color w:val="262626" w:themeColor="text1" w:themeTint="D9"/>
          <w:lang w:val="en-GB"/>
        </w:rPr>
      </w:pPr>
      <w:bookmarkStart w:id="5" w:name="_Toc77714117"/>
      <w:bookmarkEnd w:id="4"/>
      <w:r w:rsidRPr="007504E6">
        <w:rPr>
          <w:rFonts w:ascii="Times New Roman" w:hAnsi="Times New Roman" w:cs="Times New Roman"/>
          <w:b/>
          <w:bCs/>
          <w:color w:val="262626" w:themeColor="text1" w:themeTint="D9"/>
          <w:lang w:val="en-GB"/>
        </w:rPr>
        <w:t>Structure and course of the general and sub-sectoral expert</w:t>
      </w:r>
      <w:bookmarkEnd w:id="5"/>
      <w:r w:rsidRPr="007504E6">
        <w:rPr>
          <w:rFonts w:ascii="Times New Roman" w:hAnsi="Times New Roman" w:cs="Times New Roman"/>
          <w:b/>
          <w:bCs/>
          <w:color w:val="262626" w:themeColor="text1" w:themeTint="D9"/>
          <w:lang w:val="en-GB"/>
        </w:rPr>
        <w:t xml:space="preserve"> </w:t>
      </w:r>
    </w:p>
    <w:p w14:paraId="53369B82" w14:textId="77777777" w:rsidR="00BA0AB7" w:rsidRPr="007504E6" w:rsidRDefault="00BA0AB7" w:rsidP="00BA0AB7">
      <w:pPr>
        <w:spacing w:line="240" w:lineRule="auto"/>
        <w:ind w:firstLine="0"/>
        <w:rPr>
          <w:rFonts w:ascii="Times New Roman" w:hAnsi="Times New Roman" w:cs="Times New Roman"/>
          <w:lang w:val="en-GB"/>
        </w:rPr>
      </w:pPr>
    </w:p>
    <w:p w14:paraId="0CE07BAE" w14:textId="48A3D185" w:rsidR="00BA0AB7" w:rsidRPr="007504E6" w:rsidRDefault="00AE535A" w:rsidP="00AC4AFE">
      <w:pPr>
        <w:spacing w:line="276" w:lineRule="auto"/>
        <w:ind w:firstLine="0"/>
        <w:rPr>
          <w:rFonts w:ascii="Times New Roman" w:hAnsi="Times New Roman" w:cs="Times New Roman"/>
          <w:lang w:val="en-GB"/>
        </w:rPr>
      </w:pPr>
      <w:r w:rsidRPr="007504E6">
        <w:rPr>
          <w:rFonts w:ascii="Times New Roman" w:hAnsi="Times New Roman" w:cs="Times New Roman"/>
          <w:lang w:val="en-GB"/>
        </w:rPr>
        <w:t xml:space="preserve">The general survey of experts is one of the two stages of the examination, which was carried out in the study "Study on projected changes in </w:t>
      </w:r>
      <w:proofErr w:type="spellStart"/>
      <w:r w:rsidRPr="007504E6">
        <w:rPr>
          <w:rFonts w:ascii="Times New Roman" w:hAnsi="Times New Roman" w:cs="Times New Roman"/>
          <w:lang w:val="en-GB"/>
        </w:rPr>
        <w:t>labor</w:t>
      </w:r>
      <w:proofErr w:type="spellEnd"/>
      <w:r w:rsidRPr="007504E6">
        <w:rPr>
          <w:rFonts w:ascii="Times New Roman" w:hAnsi="Times New Roman" w:cs="Times New Roman"/>
          <w:lang w:val="en-GB"/>
        </w:rPr>
        <w:t xml:space="preserve"> and construction costs in the construction sector in Latvia in 2021-2025." based on the developed methodology. The first stage of the expertise allowed to achieve part of the set goals and to assess the quality of the obtained results</w:t>
      </w:r>
      <w:r w:rsidR="00AE5141" w:rsidRPr="007504E6">
        <w:rPr>
          <w:rFonts w:ascii="Times New Roman" w:hAnsi="Times New Roman" w:cs="Times New Roman"/>
          <w:lang w:val="en-GB"/>
        </w:rPr>
        <w:t xml:space="preserve">. </w:t>
      </w:r>
    </w:p>
    <w:p w14:paraId="5696A843" w14:textId="77777777" w:rsidR="00BA0AB7" w:rsidRPr="007504E6" w:rsidRDefault="00BA0AB7" w:rsidP="00AC4AFE">
      <w:pPr>
        <w:spacing w:line="276" w:lineRule="auto"/>
        <w:ind w:firstLine="0"/>
        <w:rPr>
          <w:rFonts w:ascii="Times New Roman" w:hAnsi="Times New Roman" w:cs="Times New Roman"/>
          <w:lang w:val="en-GB"/>
        </w:rPr>
      </w:pPr>
    </w:p>
    <w:p w14:paraId="5A7FB926" w14:textId="0A863126" w:rsidR="00AE5141" w:rsidRPr="007504E6" w:rsidRDefault="00AE535A" w:rsidP="00AC4AFE">
      <w:pPr>
        <w:spacing w:line="276" w:lineRule="auto"/>
        <w:ind w:firstLine="0"/>
        <w:rPr>
          <w:rFonts w:ascii="Times New Roman" w:hAnsi="Times New Roman" w:cs="Times New Roman"/>
          <w:lang w:val="en-GB"/>
        </w:rPr>
      </w:pPr>
      <w:r w:rsidRPr="007504E6">
        <w:rPr>
          <w:rFonts w:ascii="Times New Roman" w:hAnsi="Times New Roman" w:cs="Times New Roman"/>
          <w:lang w:val="en-GB"/>
        </w:rPr>
        <w:t>The following issues were investigated in the general expert survey</w:t>
      </w:r>
      <w:r w:rsidR="00AE5141" w:rsidRPr="007504E6">
        <w:rPr>
          <w:rFonts w:ascii="Times New Roman" w:hAnsi="Times New Roman" w:cs="Times New Roman"/>
          <w:lang w:val="en-GB"/>
        </w:rPr>
        <w:t>:</w:t>
      </w:r>
    </w:p>
    <w:p w14:paraId="1DB49709" w14:textId="7C09369D" w:rsidR="00AE535A" w:rsidRPr="007504E6" w:rsidRDefault="00AE535A" w:rsidP="00D64210">
      <w:pPr>
        <w:pStyle w:val="Sarakstarindkopa"/>
        <w:numPr>
          <w:ilvl w:val="0"/>
          <w:numId w:val="6"/>
        </w:numPr>
        <w:spacing w:line="276" w:lineRule="auto"/>
        <w:rPr>
          <w:rFonts w:ascii="Times New Roman" w:hAnsi="Times New Roman" w:cs="Times New Roman"/>
          <w:lang w:val="en-GB"/>
        </w:rPr>
      </w:pPr>
      <w:r w:rsidRPr="007504E6">
        <w:rPr>
          <w:rFonts w:ascii="Times New Roman" w:hAnsi="Times New Roman" w:cs="Times New Roman"/>
          <w:lang w:val="en-GB"/>
        </w:rPr>
        <w:t xml:space="preserve">Factors influencing changes in </w:t>
      </w:r>
      <w:proofErr w:type="spellStart"/>
      <w:r w:rsidRPr="007504E6">
        <w:rPr>
          <w:rFonts w:ascii="Times New Roman" w:hAnsi="Times New Roman" w:cs="Times New Roman"/>
          <w:lang w:val="en-GB"/>
        </w:rPr>
        <w:t>labor</w:t>
      </w:r>
      <w:proofErr w:type="spellEnd"/>
      <w:r w:rsidRPr="007504E6">
        <w:rPr>
          <w:rFonts w:ascii="Times New Roman" w:hAnsi="Times New Roman" w:cs="Times New Roman"/>
          <w:lang w:val="en-GB"/>
        </w:rPr>
        <w:t xml:space="preserve"> costs;</w:t>
      </w:r>
    </w:p>
    <w:p w14:paraId="3412F0F6" w14:textId="227828AD" w:rsidR="00AE535A" w:rsidRPr="007504E6" w:rsidRDefault="00AE535A" w:rsidP="00D64210">
      <w:pPr>
        <w:pStyle w:val="Sarakstarindkopa"/>
        <w:numPr>
          <w:ilvl w:val="0"/>
          <w:numId w:val="6"/>
        </w:numPr>
        <w:spacing w:line="276" w:lineRule="auto"/>
        <w:rPr>
          <w:rFonts w:ascii="Times New Roman" w:hAnsi="Times New Roman" w:cs="Times New Roman"/>
          <w:lang w:val="en-GB"/>
        </w:rPr>
      </w:pPr>
      <w:r w:rsidRPr="007504E6">
        <w:rPr>
          <w:rFonts w:ascii="Times New Roman" w:hAnsi="Times New Roman" w:cs="Times New Roman"/>
          <w:lang w:val="en-GB"/>
        </w:rPr>
        <w:t>Factors influencing changes in construction material costs;</w:t>
      </w:r>
    </w:p>
    <w:p w14:paraId="55B2EC27" w14:textId="6DB426E4" w:rsidR="00AE535A" w:rsidRPr="007504E6" w:rsidRDefault="00AE535A" w:rsidP="00D64210">
      <w:pPr>
        <w:pStyle w:val="Sarakstarindkopa"/>
        <w:numPr>
          <w:ilvl w:val="0"/>
          <w:numId w:val="6"/>
        </w:numPr>
        <w:spacing w:line="276" w:lineRule="auto"/>
        <w:rPr>
          <w:rFonts w:ascii="Times New Roman" w:hAnsi="Times New Roman" w:cs="Times New Roman"/>
          <w:lang w:val="en-GB"/>
        </w:rPr>
      </w:pPr>
      <w:r w:rsidRPr="007504E6">
        <w:rPr>
          <w:rFonts w:ascii="Times New Roman" w:hAnsi="Times New Roman" w:cs="Times New Roman"/>
          <w:lang w:val="en-GB"/>
        </w:rPr>
        <w:t>Forecasts of changes in the volume and costs of construction output;</w:t>
      </w:r>
    </w:p>
    <w:p w14:paraId="4C1A6564" w14:textId="45290A57" w:rsidR="00AE535A" w:rsidRPr="007504E6" w:rsidRDefault="00AE535A" w:rsidP="00D64210">
      <w:pPr>
        <w:pStyle w:val="Sarakstarindkopa"/>
        <w:numPr>
          <w:ilvl w:val="0"/>
          <w:numId w:val="6"/>
        </w:numPr>
        <w:spacing w:line="276" w:lineRule="auto"/>
        <w:rPr>
          <w:rFonts w:ascii="Times New Roman" w:hAnsi="Times New Roman" w:cs="Times New Roman"/>
          <w:lang w:val="en-GB"/>
        </w:rPr>
      </w:pPr>
      <w:r w:rsidRPr="007504E6">
        <w:rPr>
          <w:rFonts w:ascii="Times New Roman" w:hAnsi="Times New Roman" w:cs="Times New Roman"/>
          <w:lang w:val="en-GB"/>
        </w:rPr>
        <w:t>Impact of measures to combat the shadow economy;</w:t>
      </w:r>
    </w:p>
    <w:p w14:paraId="2BB08346" w14:textId="474B8B09" w:rsidR="00AE535A" w:rsidRPr="007504E6" w:rsidRDefault="00AE535A" w:rsidP="00D64210">
      <w:pPr>
        <w:pStyle w:val="Sarakstarindkopa"/>
        <w:numPr>
          <w:ilvl w:val="0"/>
          <w:numId w:val="6"/>
        </w:numPr>
        <w:spacing w:line="276" w:lineRule="auto"/>
        <w:rPr>
          <w:rFonts w:ascii="Times New Roman" w:hAnsi="Times New Roman" w:cs="Times New Roman"/>
          <w:lang w:val="en-GB"/>
        </w:rPr>
      </w:pPr>
      <w:r w:rsidRPr="007504E6">
        <w:rPr>
          <w:rFonts w:ascii="Times New Roman" w:hAnsi="Times New Roman" w:cs="Times New Roman"/>
          <w:lang w:val="en-GB"/>
        </w:rPr>
        <w:t>The impact of COVID-19;</w:t>
      </w:r>
    </w:p>
    <w:p w14:paraId="5753103A" w14:textId="43C9A01A" w:rsidR="00AE5141" w:rsidRPr="007504E6" w:rsidRDefault="00AE535A" w:rsidP="00D64210">
      <w:pPr>
        <w:pStyle w:val="Sarakstarindkopa"/>
        <w:numPr>
          <w:ilvl w:val="0"/>
          <w:numId w:val="6"/>
        </w:numPr>
        <w:spacing w:line="276" w:lineRule="auto"/>
        <w:rPr>
          <w:rFonts w:ascii="Times New Roman" w:hAnsi="Times New Roman" w:cs="Times New Roman"/>
          <w:lang w:val="en-GB"/>
        </w:rPr>
      </w:pPr>
      <w:r w:rsidRPr="007504E6">
        <w:rPr>
          <w:rFonts w:ascii="Times New Roman" w:hAnsi="Times New Roman" w:cs="Times New Roman"/>
          <w:lang w:val="en-GB"/>
        </w:rPr>
        <w:t xml:space="preserve">Impact of construction output on costs and industry average profit </w:t>
      </w:r>
      <w:r w:rsidR="00F0419C" w:rsidRPr="007504E6">
        <w:rPr>
          <w:rFonts w:ascii="Times New Roman" w:hAnsi="Times New Roman" w:cs="Times New Roman"/>
          <w:lang w:val="en-GB"/>
        </w:rPr>
        <w:t>margin.</w:t>
      </w:r>
    </w:p>
    <w:p w14:paraId="1A02EA0F" w14:textId="77777777" w:rsidR="00BA0AB7" w:rsidRPr="007504E6" w:rsidRDefault="00BA0AB7" w:rsidP="00AC4AFE">
      <w:pPr>
        <w:spacing w:line="276" w:lineRule="auto"/>
        <w:ind w:firstLine="0"/>
        <w:rPr>
          <w:rFonts w:ascii="Times New Roman" w:hAnsi="Times New Roman" w:cs="Times New Roman"/>
          <w:lang w:val="en-GB"/>
        </w:rPr>
      </w:pPr>
    </w:p>
    <w:p w14:paraId="6FDA30E2" w14:textId="77777777" w:rsidR="00086851" w:rsidRPr="007504E6" w:rsidRDefault="00086851" w:rsidP="00086851">
      <w:pPr>
        <w:spacing w:line="276" w:lineRule="auto"/>
        <w:ind w:firstLine="0"/>
        <w:rPr>
          <w:rFonts w:ascii="Times New Roman" w:hAnsi="Times New Roman" w:cs="Times New Roman"/>
          <w:lang w:val="en-GB"/>
        </w:rPr>
      </w:pPr>
      <w:r w:rsidRPr="007504E6">
        <w:rPr>
          <w:rFonts w:ascii="Times New Roman" w:hAnsi="Times New Roman" w:cs="Times New Roman"/>
          <w:lang w:val="en-GB"/>
        </w:rPr>
        <w:t>The survey of experts was carried out within the framework of the study by surveying experts representing professional associations and unions representing the construction industry, state institutions, non-governmental organizations, academic institutions, banks.</w:t>
      </w:r>
    </w:p>
    <w:p w14:paraId="2092397A" w14:textId="77777777" w:rsidR="00086851" w:rsidRPr="007504E6" w:rsidRDefault="00086851" w:rsidP="00086851">
      <w:pPr>
        <w:spacing w:line="276" w:lineRule="auto"/>
        <w:ind w:firstLine="0"/>
        <w:rPr>
          <w:rFonts w:ascii="Times New Roman" w:hAnsi="Times New Roman" w:cs="Times New Roman"/>
          <w:lang w:val="en-GB"/>
        </w:rPr>
      </w:pPr>
    </w:p>
    <w:p w14:paraId="031CBD4A" w14:textId="24B3BC0A" w:rsidR="00AE5141" w:rsidRPr="007504E6" w:rsidRDefault="00086851" w:rsidP="00086851">
      <w:pPr>
        <w:spacing w:line="276" w:lineRule="auto"/>
        <w:ind w:firstLine="0"/>
        <w:rPr>
          <w:rFonts w:ascii="Times New Roman" w:hAnsi="Times New Roman" w:cs="Times New Roman"/>
          <w:lang w:val="en-GB"/>
        </w:rPr>
      </w:pPr>
      <w:r w:rsidRPr="007504E6">
        <w:rPr>
          <w:rFonts w:ascii="Times New Roman" w:hAnsi="Times New Roman" w:cs="Times New Roman"/>
          <w:lang w:val="en-GB"/>
        </w:rPr>
        <w:t>The expert survey took place in May and June 2021. Within the framework of the sub-sector expert survey, six groups of organizations were identified, in each of which a survey was conducted</w:t>
      </w:r>
      <w:r w:rsidR="00AE5141" w:rsidRPr="007504E6">
        <w:rPr>
          <w:rFonts w:ascii="Times New Roman" w:hAnsi="Times New Roman" w:cs="Times New Roman"/>
          <w:lang w:val="en-GB"/>
        </w:rPr>
        <w:t>:</w:t>
      </w:r>
    </w:p>
    <w:p w14:paraId="7D5B7F7A" w14:textId="255BF02C" w:rsidR="00086851" w:rsidRPr="007504E6" w:rsidRDefault="00086851" w:rsidP="00D64210">
      <w:pPr>
        <w:pStyle w:val="Sarakstarindkopa"/>
        <w:numPr>
          <w:ilvl w:val="0"/>
          <w:numId w:val="7"/>
        </w:numPr>
        <w:spacing w:line="276" w:lineRule="auto"/>
        <w:rPr>
          <w:rFonts w:ascii="Times New Roman" w:hAnsi="Times New Roman" w:cs="Times New Roman"/>
          <w:lang w:val="en-GB"/>
        </w:rPr>
      </w:pPr>
      <w:r w:rsidRPr="007504E6">
        <w:rPr>
          <w:rFonts w:ascii="Times New Roman" w:hAnsi="Times New Roman" w:cs="Times New Roman"/>
          <w:lang w:val="en-GB"/>
        </w:rPr>
        <w:t>Construction of residential and non-residential buildings;</w:t>
      </w:r>
    </w:p>
    <w:p w14:paraId="3A366DB2" w14:textId="7766ABF9" w:rsidR="00086851" w:rsidRPr="007504E6" w:rsidRDefault="00086851" w:rsidP="00D64210">
      <w:pPr>
        <w:pStyle w:val="Sarakstarindkopa"/>
        <w:numPr>
          <w:ilvl w:val="0"/>
          <w:numId w:val="7"/>
        </w:numPr>
        <w:spacing w:line="276" w:lineRule="auto"/>
        <w:rPr>
          <w:rFonts w:ascii="Times New Roman" w:hAnsi="Times New Roman" w:cs="Times New Roman"/>
          <w:lang w:val="en-GB"/>
        </w:rPr>
      </w:pPr>
      <w:r w:rsidRPr="007504E6">
        <w:rPr>
          <w:rFonts w:ascii="Times New Roman" w:hAnsi="Times New Roman" w:cs="Times New Roman"/>
          <w:lang w:val="en-GB"/>
        </w:rPr>
        <w:t>Construction of transport objects;</w:t>
      </w:r>
    </w:p>
    <w:p w14:paraId="551B219A" w14:textId="4CD417A6" w:rsidR="00086851" w:rsidRPr="007504E6" w:rsidRDefault="00086851" w:rsidP="00D64210">
      <w:pPr>
        <w:pStyle w:val="Sarakstarindkopa"/>
        <w:numPr>
          <w:ilvl w:val="0"/>
          <w:numId w:val="7"/>
        </w:numPr>
        <w:spacing w:line="276" w:lineRule="auto"/>
        <w:rPr>
          <w:rFonts w:ascii="Times New Roman" w:hAnsi="Times New Roman" w:cs="Times New Roman"/>
          <w:lang w:val="en-GB"/>
        </w:rPr>
      </w:pPr>
      <w:r w:rsidRPr="007504E6">
        <w:rPr>
          <w:rFonts w:ascii="Times New Roman" w:hAnsi="Times New Roman" w:cs="Times New Roman"/>
          <w:lang w:val="en-GB"/>
        </w:rPr>
        <w:t>Construction of city infrastructure objects;</w:t>
      </w:r>
    </w:p>
    <w:p w14:paraId="0CE4E5EB" w14:textId="67B44E24" w:rsidR="00086851" w:rsidRPr="007504E6" w:rsidRDefault="00086851" w:rsidP="00D64210">
      <w:pPr>
        <w:pStyle w:val="Sarakstarindkopa"/>
        <w:numPr>
          <w:ilvl w:val="0"/>
          <w:numId w:val="7"/>
        </w:numPr>
        <w:spacing w:line="276" w:lineRule="auto"/>
        <w:rPr>
          <w:rFonts w:ascii="Times New Roman" w:hAnsi="Times New Roman" w:cs="Times New Roman"/>
          <w:lang w:val="en-GB"/>
        </w:rPr>
      </w:pPr>
      <w:r w:rsidRPr="007504E6">
        <w:rPr>
          <w:rFonts w:ascii="Times New Roman" w:hAnsi="Times New Roman" w:cs="Times New Roman"/>
          <w:lang w:val="en-GB"/>
        </w:rPr>
        <w:t>Construction of specialized construction works;</w:t>
      </w:r>
    </w:p>
    <w:p w14:paraId="44551B19" w14:textId="4CA43152" w:rsidR="00086851" w:rsidRPr="007504E6" w:rsidRDefault="00086851" w:rsidP="00D64210">
      <w:pPr>
        <w:pStyle w:val="Sarakstarindkopa"/>
        <w:numPr>
          <w:ilvl w:val="0"/>
          <w:numId w:val="7"/>
        </w:numPr>
        <w:spacing w:line="276" w:lineRule="auto"/>
        <w:rPr>
          <w:rFonts w:ascii="Times New Roman" w:hAnsi="Times New Roman" w:cs="Times New Roman"/>
          <w:lang w:val="en-GB"/>
        </w:rPr>
      </w:pPr>
      <w:r w:rsidRPr="007504E6">
        <w:rPr>
          <w:rFonts w:ascii="Times New Roman" w:hAnsi="Times New Roman" w:cs="Times New Roman"/>
          <w:lang w:val="en-GB"/>
        </w:rPr>
        <w:t>Architectural and engineering services, technical testing and analysis;</w:t>
      </w:r>
    </w:p>
    <w:p w14:paraId="72E35D98" w14:textId="4794FFD9" w:rsidR="00E33E4A" w:rsidRPr="007504E6" w:rsidRDefault="00086851" w:rsidP="00D64210">
      <w:pPr>
        <w:pStyle w:val="Sarakstarindkopa"/>
        <w:numPr>
          <w:ilvl w:val="0"/>
          <w:numId w:val="7"/>
        </w:numPr>
        <w:spacing w:line="276" w:lineRule="auto"/>
        <w:rPr>
          <w:rFonts w:ascii="Times New Roman" w:hAnsi="Times New Roman" w:cs="Times New Roman"/>
          <w:lang w:val="en-GB"/>
        </w:rPr>
      </w:pPr>
      <w:r w:rsidRPr="007504E6">
        <w:rPr>
          <w:rFonts w:ascii="Times New Roman" w:hAnsi="Times New Roman" w:cs="Times New Roman"/>
          <w:lang w:val="en-GB"/>
        </w:rPr>
        <w:t>Production and sale of construction products</w:t>
      </w:r>
      <w:r w:rsidR="00152CE6" w:rsidRPr="007504E6">
        <w:rPr>
          <w:rFonts w:ascii="Times New Roman" w:hAnsi="Times New Roman" w:cs="Times New Roman"/>
          <w:lang w:val="en-GB"/>
        </w:rPr>
        <w:t>.</w:t>
      </w:r>
    </w:p>
    <w:p w14:paraId="38456CE2" w14:textId="77777777" w:rsidR="0060488B" w:rsidRPr="007504E6" w:rsidRDefault="0060488B" w:rsidP="00AC4AFE">
      <w:pPr>
        <w:spacing w:line="276" w:lineRule="auto"/>
        <w:ind w:firstLine="0"/>
        <w:rPr>
          <w:rFonts w:ascii="Times New Roman" w:hAnsi="Times New Roman" w:cs="Times New Roman"/>
          <w:lang w:val="en-GB"/>
        </w:rPr>
      </w:pPr>
    </w:p>
    <w:p w14:paraId="657EDD17" w14:textId="77777777" w:rsidR="00086851" w:rsidRPr="007504E6" w:rsidRDefault="00086851" w:rsidP="00086851">
      <w:pPr>
        <w:spacing w:line="276" w:lineRule="auto"/>
        <w:ind w:firstLine="0"/>
        <w:rPr>
          <w:rFonts w:ascii="Times New Roman" w:hAnsi="Times New Roman" w:cs="Times New Roman"/>
          <w:lang w:val="en-GB"/>
        </w:rPr>
      </w:pPr>
      <w:r w:rsidRPr="007504E6">
        <w:rPr>
          <w:rFonts w:ascii="Times New Roman" w:hAnsi="Times New Roman" w:cs="Times New Roman"/>
          <w:lang w:val="en-GB"/>
        </w:rPr>
        <w:t>Residential and non-residential construction enterprises were merged into one group of experts, taking into account that according to the NACE v.2 classification, separate codes are not distinguished for residential and non-residential construction enterprises. Tailored questions were developed for each group of experts, which were combined with common questions from the general expert survey. The general questions were focused on the assessment of the development of the construction sector, the adjusted questions were focused on the development trends of the defined sub-sector, influencing factors, etc.</w:t>
      </w:r>
    </w:p>
    <w:p w14:paraId="4EF49AAA" w14:textId="77777777" w:rsidR="00086851" w:rsidRPr="007504E6" w:rsidRDefault="00086851" w:rsidP="00086851">
      <w:pPr>
        <w:spacing w:line="276" w:lineRule="auto"/>
        <w:ind w:firstLine="0"/>
        <w:rPr>
          <w:rFonts w:ascii="Times New Roman" w:hAnsi="Times New Roman" w:cs="Times New Roman"/>
          <w:lang w:val="en-GB"/>
        </w:rPr>
      </w:pPr>
    </w:p>
    <w:p w14:paraId="18DE4766" w14:textId="77777777" w:rsidR="00086851" w:rsidRPr="007504E6" w:rsidRDefault="00086851" w:rsidP="00086851">
      <w:pPr>
        <w:spacing w:line="276" w:lineRule="auto"/>
        <w:ind w:firstLine="0"/>
        <w:rPr>
          <w:rFonts w:ascii="Times New Roman" w:hAnsi="Times New Roman" w:cs="Times New Roman"/>
          <w:lang w:val="en-GB"/>
        </w:rPr>
      </w:pPr>
      <w:r w:rsidRPr="007504E6">
        <w:rPr>
          <w:rFonts w:ascii="Times New Roman" w:hAnsi="Times New Roman" w:cs="Times New Roman"/>
          <w:lang w:val="en-GB"/>
        </w:rPr>
        <w:t>A total of 228 experts were individually interviewed to participate in the Study. Positive feedback and involvement in the study was obtained from 59 experts.</w:t>
      </w:r>
    </w:p>
    <w:p w14:paraId="2265CD27" w14:textId="77777777" w:rsidR="00086851" w:rsidRPr="007504E6" w:rsidRDefault="00086851" w:rsidP="00086851">
      <w:pPr>
        <w:spacing w:line="276" w:lineRule="auto"/>
        <w:ind w:firstLine="0"/>
        <w:rPr>
          <w:rFonts w:ascii="Times New Roman" w:hAnsi="Times New Roman" w:cs="Times New Roman"/>
          <w:lang w:val="en-GB"/>
        </w:rPr>
      </w:pPr>
    </w:p>
    <w:p w14:paraId="474C0BEE" w14:textId="367C1461" w:rsidR="00AE5141" w:rsidRPr="007504E6" w:rsidRDefault="00086851" w:rsidP="00086851">
      <w:pPr>
        <w:spacing w:line="276" w:lineRule="auto"/>
        <w:ind w:firstLine="0"/>
        <w:rPr>
          <w:rFonts w:ascii="Times New Roman" w:hAnsi="Times New Roman" w:cs="Times New Roman"/>
          <w:lang w:val="en-GB"/>
        </w:rPr>
      </w:pPr>
      <w:r w:rsidRPr="007504E6">
        <w:rPr>
          <w:rFonts w:ascii="Times New Roman" w:hAnsi="Times New Roman" w:cs="Times New Roman"/>
          <w:lang w:val="en-GB"/>
        </w:rPr>
        <w:t>Within the framework of the general expert survey, 7 questions were identified, which included a total of 86 expert evaluations from each expert. In the survey of sub-sector experts, 7 questions were singled out, which in total included over 87 expert evaluations from each expert. In both cases, in addition, the number of open-ended responses varied according to experts</w:t>
      </w:r>
      <w:r w:rsidR="00AE5141" w:rsidRPr="007504E6">
        <w:rPr>
          <w:rFonts w:ascii="Times New Roman" w:hAnsi="Times New Roman" w:cs="Times New Roman"/>
          <w:lang w:val="en-GB"/>
        </w:rPr>
        <w:t xml:space="preserve">. </w:t>
      </w:r>
    </w:p>
    <w:p w14:paraId="4B728B18" w14:textId="77777777" w:rsidR="00AE5141" w:rsidRPr="007504E6" w:rsidRDefault="00AE5141" w:rsidP="00AE5141">
      <w:pPr>
        <w:rPr>
          <w:rFonts w:ascii="Times New Roman" w:hAnsi="Times New Roman" w:cs="Times New Roman"/>
          <w:lang w:val="en-GB"/>
        </w:rPr>
      </w:pPr>
    </w:p>
    <w:p w14:paraId="2329D2D1" w14:textId="61E5C6B8" w:rsidR="00AC4AFE" w:rsidRPr="007504E6" w:rsidRDefault="00A2334B" w:rsidP="00D64210">
      <w:pPr>
        <w:pStyle w:val="Virsraksts2"/>
        <w:numPr>
          <w:ilvl w:val="1"/>
          <w:numId w:val="5"/>
        </w:numPr>
        <w:rPr>
          <w:rFonts w:ascii="Times New Roman" w:hAnsi="Times New Roman" w:cs="Times New Roman"/>
          <w:b/>
          <w:bCs/>
          <w:color w:val="262626" w:themeColor="text1" w:themeTint="D9"/>
          <w:lang w:val="en-GB"/>
        </w:rPr>
      </w:pPr>
      <w:bookmarkStart w:id="6" w:name="_Toc77714118"/>
      <w:r w:rsidRPr="007504E6">
        <w:rPr>
          <w:rFonts w:ascii="Times New Roman" w:hAnsi="Times New Roman" w:cs="Times New Roman"/>
          <w:b/>
          <w:bCs/>
          <w:color w:val="262626" w:themeColor="text1" w:themeTint="D9"/>
          <w:lang w:val="en-GB"/>
        </w:rPr>
        <w:t xml:space="preserve">Factors influencing changes in </w:t>
      </w:r>
      <w:proofErr w:type="spellStart"/>
      <w:r w:rsidRPr="007504E6">
        <w:rPr>
          <w:rFonts w:ascii="Times New Roman" w:hAnsi="Times New Roman" w:cs="Times New Roman"/>
          <w:b/>
          <w:bCs/>
          <w:color w:val="262626" w:themeColor="text1" w:themeTint="D9"/>
          <w:lang w:val="en-GB"/>
        </w:rPr>
        <w:t>labor</w:t>
      </w:r>
      <w:proofErr w:type="spellEnd"/>
      <w:r w:rsidRPr="007504E6">
        <w:rPr>
          <w:rFonts w:ascii="Times New Roman" w:hAnsi="Times New Roman" w:cs="Times New Roman"/>
          <w:b/>
          <w:bCs/>
          <w:color w:val="262626" w:themeColor="text1" w:themeTint="D9"/>
          <w:lang w:val="en-GB"/>
        </w:rPr>
        <w:t xml:space="preserve"> and construction material costs</w:t>
      </w:r>
      <w:bookmarkEnd w:id="6"/>
    </w:p>
    <w:p w14:paraId="5CB2DD02" w14:textId="77777777" w:rsidR="00D22D50" w:rsidRPr="007504E6" w:rsidRDefault="00D22D50" w:rsidP="00D22D50">
      <w:pPr>
        <w:rPr>
          <w:rFonts w:ascii="Times New Roman" w:hAnsi="Times New Roman" w:cs="Times New Roman"/>
          <w:lang w:val="en-GB"/>
        </w:rPr>
      </w:pPr>
    </w:p>
    <w:p w14:paraId="05863D8F" w14:textId="15FE0311" w:rsidR="003C3509" w:rsidRPr="007504E6" w:rsidRDefault="00A2334B" w:rsidP="00D64210">
      <w:pPr>
        <w:pStyle w:val="Virsraksts3"/>
        <w:numPr>
          <w:ilvl w:val="2"/>
          <w:numId w:val="5"/>
        </w:numPr>
        <w:rPr>
          <w:rFonts w:ascii="Times New Roman" w:hAnsi="Times New Roman" w:cs="Times New Roman"/>
          <w:b/>
          <w:bCs/>
          <w:color w:val="262626" w:themeColor="text1" w:themeTint="D9"/>
          <w:sz w:val="24"/>
          <w:szCs w:val="28"/>
          <w:lang w:val="en-GB"/>
        </w:rPr>
      </w:pPr>
      <w:r w:rsidRPr="007504E6">
        <w:rPr>
          <w:rFonts w:ascii="Times New Roman" w:hAnsi="Times New Roman" w:cs="Times New Roman"/>
          <w:b/>
          <w:bCs/>
          <w:color w:val="262626" w:themeColor="text1" w:themeTint="D9"/>
          <w:sz w:val="24"/>
          <w:szCs w:val="28"/>
          <w:lang w:val="en-GB"/>
        </w:rPr>
        <w:t xml:space="preserve">Overall expert assessment of factors influencing </w:t>
      </w:r>
      <w:proofErr w:type="spellStart"/>
      <w:r w:rsidRPr="007504E6">
        <w:rPr>
          <w:rFonts w:ascii="Times New Roman" w:hAnsi="Times New Roman" w:cs="Times New Roman"/>
          <w:b/>
          <w:bCs/>
          <w:color w:val="262626" w:themeColor="text1" w:themeTint="D9"/>
          <w:sz w:val="24"/>
          <w:szCs w:val="28"/>
          <w:lang w:val="en-GB"/>
        </w:rPr>
        <w:t>labor</w:t>
      </w:r>
      <w:proofErr w:type="spellEnd"/>
      <w:r w:rsidRPr="007504E6">
        <w:rPr>
          <w:rFonts w:ascii="Times New Roman" w:hAnsi="Times New Roman" w:cs="Times New Roman"/>
          <w:b/>
          <w:bCs/>
          <w:color w:val="262626" w:themeColor="text1" w:themeTint="D9"/>
          <w:sz w:val="24"/>
          <w:szCs w:val="28"/>
          <w:lang w:val="en-GB"/>
        </w:rPr>
        <w:t xml:space="preserve"> costs</w:t>
      </w:r>
    </w:p>
    <w:p w14:paraId="702CEC85" w14:textId="2C40F900" w:rsidR="00AC4AFE" w:rsidRPr="007504E6" w:rsidRDefault="00A2334B" w:rsidP="00152CE6">
      <w:pPr>
        <w:spacing w:line="276" w:lineRule="auto"/>
        <w:ind w:firstLine="0"/>
        <w:rPr>
          <w:rFonts w:ascii="Times New Roman" w:hAnsi="Times New Roman" w:cs="Times New Roman"/>
          <w:lang w:val="en-GB"/>
        </w:rPr>
      </w:pPr>
      <w:r w:rsidRPr="007504E6">
        <w:rPr>
          <w:rFonts w:ascii="Times New Roman" w:hAnsi="Times New Roman" w:cs="Times New Roman"/>
          <w:lang w:val="en-GB"/>
        </w:rPr>
        <w:t xml:space="preserve">The impact of various factors on </w:t>
      </w:r>
      <w:proofErr w:type="spellStart"/>
      <w:r w:rsidRPr="007504E6">
        <w:rPr>
          <w:rFonts w:ascii="Times New Roman" w:hAnsi="Times New Roman" w:cs="Times New Roman"/>
          <w:lang w:val="en-GB"/>
        </w:rPr>
        <w:t>labor</w:t>
      </w:r>
      <w:proofErr w:type="spellEnd"/>
      <w:r w:rsidRPr="007504E6">
        <w:rPr>
          <w:rFonts w:ascii="Times New Roman" w:hAnsi="Times New Roman" w:cs="Times New Roman"/>
          <w:lang w:val="en-GB"/>
        </w:rPr>
        <w:t xml:space="preserve"> costs in the construction sector was performed by both general experts and experts representing the sub-sector. The considered factors cover various areas both at the Latvian and EU level. </w:t>
      </w:r>
      <w:proofErr w:type="spellStart"/>
      <w:r w:rsidRPr="007504E6">
        <w:rPr>
          <w:rFonts w:ascii="Times New Roman" w:hAnsi="Times New Roman" w:cs="Times New Roman"/>
          <w:lang w:val="en-GB"/>
        </w:rPr>
        <w:t>Analyzing</w:t>
      </w:r>
      <w:proofErr w:type="spellEnd"/>
      <w:r w:rsidRPr="007504E6">
        <w:rPr>
          <w:rFonts w:ascii="Times New Roman" w:hAnsi="Times New Roman" w:cs="Times New Roman"/>
          <w:lang w:val="en-GB"/>
        </w:rPr>
        <w:t xml:space="preserve"> the obtained expert answers, the average expert assessment, standard deviation of expert assessments was calculated. Factors were rated on a 10-point scale, where a higher score means that the factor is a more significant factor influencing </w:t>
      </w:r>
      <w:proofErr w:type="spellStart"/>
      <w:r w:rsidRPr="007504E6">
        <w:rPr>
          <w:rFonts w:ascii="Times New Roman" w:hAnsi="Times New Roman" w:cs="Times New Roman"/>
          <w:lang w:val="en-GB"/>
        </w:rPr>
        <w:t>labor</w:t>
      </w:r>
      <w:proofErr w:type="spellEnd"/>
      <w:r w:rsidRPr="007504E6">
        <w:rPr>
          <w:rFonts w:ascii="Times New Roman" w:hAnsi="Times New Roman" w:cs="Times New Roman"/>
          <w:lang w:val="en-GB"/>
        </w:rPr>
        <w:t xml:space="preserve"> costs in construction</w:t>
      </w:r>
      <w:r w:rsidR="003C3509" w:rsidRPr="007504E6">
        <w:rPr>
          <w:rFonts w:ascii="Times New Roman" w:hAnsi="Times New Roman" w:cs="Times New Roman"/>
          <w:lang w:val="en-GB"/>
        </w:rPr>
        <w:t xml:space="preserve">. </w:t>
      </w:r>
    </w:p>
    <w:p w14:paraId="5407A95F" w14:textId="77777777" w:rsidR="00152CE6" w:rsidRPr="007504E6" w:rsidRDefault="00152CE6" w:rsidP="00152CE6">
      <w:pPr>
        <w:spacing w:line="276" w:lineRule="auto"/>
        <w:ind w:firstLine="0"/>
        <w:rPr>
          <w:rFonts w:ascii="Times New Roman" w:hAnsi="Times New Roman" w:cs="Times New Roman"/>
          <w:lang w:val="en-GB"/>
        </w:rPr>
      </w:pPr>
    </w:p>
    <w:p w14:paraId="7CF28DCA" w14:textId="4A038AE8" w:rsidR="005F622A" w:rsidRPr="007504E6" w:rsidRDefault="00A2334B" w:rsidP="005F622A">
      <w:pPr>
        <w:pStyle w:val="Parakstszemobjekta"/>
        <w:spacing w:after="0"/>
        <w:jc w:val="right"/>
        <w:rPr>
          <w:lang w:val="en-GB"/>
        </w:rPr>
      </w:pPr>
      <w:r w:rsidRPr="007504E6">
        <w:rPr>
          <w:lang w:val="en-GB"/>
        </w:rPr>
        <w:t>Table</w:t>
      </w:r>
      <w:r w:rsidR="009965E4" w:rsidRPr="007504E6">
        <w:rPr>
          <w:lang w:val="en-GB"/>
        </w:rPr>
        <w:t xml:space="preserve">  </w:t>
      </w:r>
      <w:r w:rsidR="00D64210" w:rsidRPr="007504E6">
        <w:rPr>
          <w:lang w:val="en-GB"/>
        </w:rPr>
        <w:fldChar w:fldCharType="begin"/>
      </w:r>
      <w:r w:rsidR="00D64210" w:rsidRPr="007504E6">
        <w:rPr>
          <w:lang w:val="en-GB"/>
        </w:rPr>
        <w:instrText xml:space="preserve"> SEQ Tab._ \* ARABIC </w:instrText>
      </w:r>
      <w:r w:rsidR="00D64210" w:rsidRPr="007504E6">
        <w:rPr>
          <w:lang w:val="en-GB"/>
        </w:rPr>
        <w:fldChar w:fldCharType="separate"/>
      </w:r>
      <w:r w:rsidR="00D500F7">
        <w:rPr>
          <w:noProof/>
          <w:lang w:val="en-GB"/>
        </w:rPr>
        <w:t>4</w:t>
      </w:r>
      <w:r w:rsidR="00D64210" w:rsidRPr="007504E6">
        <w:rPr>
          <w:noProof/>
          <w:lang w:val="en-GB"/>
        </w:rPr>
        <w:fldChar w:fldCharType="end"/>
      </w:r>
      <w:r w:rsidR="009965E4" w:rsidRPr="007504E6">
        <w:rPr>
          <w:lang w:val="en-GB"/>
        </w:rPr>
        <w:t xml:space="preserve">. </w:t>
      </w:r>
    </w:p>
    <w:p w14:paraId="68F9A859" w14:textId="52789884" w:rsidR="00874BDD" w:rsidRPr="007504E6" w:rsidRDefault="00ED3874" w:rsidP="005F622A">
      <w:pPr>
        <w:pStyle w:val="Parakstszemobjekta"/>
        <w:spacing w:after="0"/>
        <w:jc w:val="right"/>
        <w:rPr>
          <w:rFonts w:ascii="Times New Roman" w:hAnsi="Times New Roman" w:cs="Times New Roman"/>
          <w:color w:val="262626" w:themeColor="text1" w:themeTint="D9"/>
          <w:lang w:val="en-GB"/>
        </w:rPr>
      </w:pPr>
      <w:r w:rsidRPr="007504E6">
        <w:rPr>
          <w:rFonts w:ascii="Times New Roman" w:hAnsi="Times New Roman" w:cs="Times New Roman"/>
          <w:lang w:val="en-GB"/>
        </w:rPr>
        <w:t xml:space="preserve"> </w:t>
      </w:r>
      <w:r w:rsidR="004739FA" w:rsidRPr="007504E6">
        <w:rPr>
          <w:rFonts w:ascii="Times New Roman" w:hAnsi="Times New Roman" w:cs="Times New Roman"/>
          <w:color w:val="262626" w:themeColor="text1" w:themeTint="D9"/>
          <w:lang w:val="en-GB"/>
        </w:rPr>
        <w:t xml:space="preserve">Average expert assessments of the factors influencing </w:t>
      </w:r>
      <w:proofErr w:type="spellStart"/>
      <w:r w:rsidR="004739FA" w:rsidRPr="007504E6">
        <w:rPr>
          <w:rFonts w:ascii="Times New Roman" w:hAnsi="Times New Roman" w:cs="Times New Roman"/>
          <w:color w:val="262626" w:themeColor="text1" w:themeTint="D9"/>
          <w:lang w:val="en-GB"/>
        </w:rPr>
        <w:t>labor</w:t>
      </w:r>
      <w:proofErr w:type="spellEnd"/>
      <w:r w:rsidR="004739FA" w:rsidRPr="007504E6">
        <w:rPr>
          <w:rFonts w:ascii="Times New Roman" w:hAnsi="Times New Roman" w:cs="Times New Roman"/>
          <w:color w:val="262626" w:themeColor="text1" w:themeTint="D9"/>
          <w:lang w:val="en-GB"/>
        </w:rPr>
        <w:t xml:space="preserve"> costs in descending order (all experts) on a 10-point scale, where 10 points indicate that the factor is extremely significant, while an assessment of 0 indicates that the factor has no effect</w:t>
      </w:r>
      <w:r w:rsidR="006A3022" w:rsidRPr="007504E6">
        <w:rPr>
          <w:rFonts w:ascii="Times New Roman" w:hAnsi="Times New Roman" w:cs="Times New Roman"/>
          <w:color w:val="262626" w:themeColor="text1" w:themeTint="D9"/>
          <w:lang w:val="en-GB"/>
        </w:rPr>
        <w:t>.</w:t>
      </w:r>
    </w:p>
    <w:tbl>
      <w:tblPr>
        <w:tblStyle w:val="ListTable4-Accent31"/>
        <w:tblW w:w="9067" w:type="dxa"/>
        <w:tblLook w:val="0620" w:firstRow="1" w:lastRow="0" w:firstColumn="0" w:lastColumn="0" w:noHBand="1" w:noVBand="1"/>
      </w:tblPr>
      <w:tblGrid>
        <w:gridCol w:w="704"/>
        <w:gridCol w:w="5324"/>
        <w:gridCol w:w="1350"/>
        <w:gridCol w:w="1689"/>
      </w:tblGrid>
      <w:tr w:rsidR="004739FA" w:rsidRPr="007504E6" w14:paraId="7E906023" w14:textId="77777777" w:rsidTr="006B459B">
        <w:trPr>
          <w:cnfStyle w:val="100000000000" w:firstRow="1" w:lastRow="0" w:firstColumn="0" w:lastColumn="0" w:oddVBand="0" w:evenVBand="0" w:oddHBand="0" w:evenHBand="0" w:firstRowFirstColumn="0" w:firstRowLastColumn="0" w:lastRowFirstColumn="0" w:lastRowLastColumn="0"/>
          <w:trHeight w:val="288"/>
        </w:trPr>
        <w:tc>
          <w:tcPr>
            <w:tcW w:w="704" w:type="dxa"/>
            <w:noWrap/>
            <w:hideMark/>
          </w:tcPr>
          <w:p w14:paraId="73F20C21" w14:textId="35834581" w:rsidR="004739FA" w:rsidRPr="007504E6" w:rsidRDefault="004739FA" w:rsidP="004739FA">
            <w:pPr>
              <w:tabs>
                <w:tab w:val="left" w:pos="426"/>
                <w:tab w:val="center" w:pos="2906"/>
              </w:tabs>
              <w:spacing w:line="240" w:lineRule="auto"/>
              <w:ind w:firstLine="0"/>
              <w:jc w:val="right"/>
              <w:rPr>
                <w:rFonts w:ascii="Times New Roman" w:eastAsia="Times New Roman" w:hAnsi="Times New Roman" w:cs="Times New Roman"/>
                <w:b w:val="0"/>
                <w:bCs w:val="0"/>
                <w:color w:val="000000"/>
                <w:lang w:val="en-GB" w:eastAsia="lv-LV"/>
              </w:rPr>
            </w:pPr>
            <w:r w:rsidRPr="007504E6">
              <w:rPr>
                <w:b w:val="0"/>
                <w:bCs w:val="0"/>
                <w:szCs w:val="20"/>
                <w:lang w:val="en-GB"/>
              </w:rPr>
              <w:t>No.</w:t>
            </w:r>
          </w:p>
        </w:tc>
        <w:tc>
          <w:tcPr>
            <w:tcW w:w="5324" w:type="dxa"/>
          </w:tcPr>
          <w:p w14:paraId="45A7FD61" w14:textId="239AE5FD" w:rsidR="004739FA" w:rsidRPr="007504E6" w:rsidRDefault="004739FA" w:rsidP="004739FA">
            <w:pPr>
              <w:tabs>
                <w:tab w:val="left" w:pos="426"/>
                <w:tab w:val="center" w:pos="2906"/>
              </w:tabs>
              <w:spacing w:line="240" w:lineRule="auto"/>
              <w:ind w:firstLine="0"/>
              <w:jc w:val="left"/>
              <w:rPr>
                <w:rFonts w:ascii="Times New Roman" w:eastAsia="Times New Roman" w:hAnsi="Times New Roman" w:cs="Times New Roman"/>
                <w:color w:val="000000"/>
                <w:lang w:val="en-GB" w:eastAsia="lv-LV"/>
              </w:rPr>
            </w:pPr>
            <w:r w:rsidRPr="007504E6">
              <w:rPr>
                <w:b w:val="0"/>
                <w:bCs w:val="0"/>
                <w:szCs w:val="20"/>
                <w:lang w:val="en-GB"/>
              </w:rPr>
              <w:t>FACTORS AFFECTING LABOR COSTS in order of significance of the impact</w:t>
            </w:r>
          </w:p>
        </w:tc>
        <w:tc>
          <w:tcPr>
            <w:tcW w:w="1350" w:type="dxa"/>
            <w:noWrap/>
            <w:hideMark/>
          </w:tcPr>
          <w:p w14:paraId="009C9356" w14:textId="2F6F249B" w:rsidR="004739FA" w:rsidRPr="007504E6" w:rsidRDefault="004739FA" w:rsidP="004739FA">
            <w:pPr>
              <w:spacing w:line="240" w:lineRule="auto"/>
              <w:ind w:firstLine="0"/>
              <w:jc w:val="center"/>
              <w:rPr>
                <w:rFonts w:ascii="Times New Roman" w:eastAsia="Times New Roman" w:hAnsi="Times New Roman" w:cs="Times New Roman"/>
                <w:color w:val="000000"/>
                <w:lang w:val="en-GB" w:eastAsia="lv-LV"/>
              </w:rPr>
            </w:pPr>
            <w:r w:rsidRPr="007504E6">
              <w:rPr>
                <w:b w:val="0"/>
                <w:bCs w:val="0"/>
                <w:szCs w:val="20"/>
                <w:lang w:val="en-GB"/>
              </w:rPr>
              <w:t>Number of evaluations</w:t>
            </w:r>
          </w:p>
        </w:tc>
        <w:tc>
          <w:tcPr>
            <w:tcW w:w="1689" w:type="dxa"/>
            <w:noWrap/>
            <w:hideMark/>
          </w:tcPr>
          <w:p w14:paraId="11CCF2EE" w14:textId="77C6C4F3" w:rsidR="004739FA" w:rsidRPr="007504E6" w:rsidRDefault="004739FA" w:rsidP="004739FA">
            <w:pPr>
              <w:spacing w:line="240" w:lineRule="auto"/>
              <w:ind w:firstLine="0"/>
              <w:jc w:val="center"/>
              <w:rPr>
                <w:rFonts w:ascii="Times New Roman" w:eastAsia="Times New Roman" w:hAnsi="Times New Roman" w:cs="Times New Roman"/>
                <w:color w:val="000000"/>
                <w:lang w:val="en-GB" w:eastAsia="lv-LV"/>
              </w:rPr>
            </w:pPr>
            <w:r w:rsidRPr="007504E6">
              <w:rPr>
                <w:b w:val="0"/>
                <w:bCs w:val="0"/>
                <w:szCs w:val="20"/>
                <w:lang w:val="en-GB"/>
              </w:rPr>
              <w:t>Average rating</w:t>
            </w:r>
          </w:p>
        </w:tc>
      </w:tr>
      <w:tr w:rsidR="004739FA" w:rsidRPr="007504E6" w14:paraId="6A4CD46A" w14:textId="77777777" w:rsidTr="006B459B">
        <w:trPr>
          <w:trHeight w:val="288"/>
        </w:trPr>
        <w:tc>
          <w:tcPr>
            <w:tcW w:w="6028" w:type="dxa"/>
            <w:gridSpan w:val="2"/>
            <w:noWrap/>
            <w:hideMark/>
          </w:tcPr>
          <w:p w14:paraId="03C51598" w14:textId="13D70F1E" w:rsidR="004739FA" w:rsidRPr="007504E6" w:rsidRDefault="004739FA" w:rsidP="00D64210">
            <w:pPr>
              <w:pStyle w:val="Sarakstarindkopa"/>
              <w:numPr>
                <w:ilvl w:val="0"/>
                <w:numId w:val="12"/>
              </w:numPr>
              <w:spacing w:line="240" w:lineRule="auto"/>
              <w:jc w:val="left"/>
              <w:rPr>
                <w:rFonts w:ascii="Times New Roman" w:eastAsia="Times New Roman" w:hAnsi="Times New Roman" w:cs="Times New Roman"/>
                <w:b/>
                <w:bCs/>
                <w:color w:val="000000"/>
                <w:lang w:val="en-GB" w:eastAsia="lv-LV"/>
              </w:rPr>
            </w:pPr>
            <w:r w:rsidRPr="007504E6">
              <w:rPr>
                <w:b/>
                <w:bCs/>
                <w:szCs w:val="20"/>
                <w:lang w:val="en-GB"/>
              </w:rPr>
              <w:t>Volume of construction in Latvia</w:t>
            </w:r>
          </w:p>
        </w:tc>
        <w:tc>
          <w:tcPr>
            <w:tcW w:w="1350" w:type="dxa"/>
            <w:noWrap/>
            <w:hideMark/>
          </w:tcPr>
          <w:p w14:paraId="5A8822CD" w14:textId="0CA80387" w:rsidR="004739FA" w:rsidRPr="007504E6" w:rsidRDefault="004739FA" w:rsidP="004739FA">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59</w:t>
            </w:r>
          </w:p>
        </w:tc>
        <w:tc>
          <w:tcPr>
            <w:tcW w:w="1689" w:type="dxa"/>
            <w:noWrap/>
            <w:hideMark/>
          </w:tcPr>
          <w:p w14:paraId="33AC0BC8" w14:textId="13BFCC22" w:rsidR="004739FA" w:rsidRPr="007504E6" w:rsidRDefault="004739FA" w:rsidP="004739FA">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7.75</w:t>
            </w:r>
          </w:p>
        </w:tc>
      </w:tr>
      <w:tr w:rsidR="004739FA" w:rsidRPr="007504E6" w14:paraId="5B395CEE" w14:textId="77777777" w:rsidTr="006B459B">
        <w:trPr>
          <w:trHeight w:val="288"/>
        </w:trPr>
        <w:tc>
          <w:tcPr>
            <w:tcW w:w="6028" w:type="dxa"/>
            <w:gridSpan w:val="2"/>
            <w:noWrap/>
            <w:hideMark/>
          </w:tcPr>
          <w:p w14:paraId="207DE1C4" w14:textId="661D88FC" w:rsidR="004739FA" w:rsidRPr="007504E6" w:rsidRDefault="004739FA" w:rsidP="00D64210">
            <w:pPr>
              <w:pStyle w:val="Sarakstarindkopa"/>
              <w:numPr>
                <w:ilvl w:val="0"/>
                <w:numId w:val="12"/>
              </w:numPr>
              <w:spacing w:line="240" w:lineRule="auto"/>
              <w:jc w:val="left"/>
              <w:rPr>
                <w:rFonts w:ascii="Times New Roman" w:eastAsia="Times New Roman" w:hAnsi="Times New Roman" w:cs="Times New Roman"/>
                <w:b/>
                <w:bCs/>
                <w:color w:val="000000"/>
                <w:lang w:val="en-GB" w:eastAsia="lv-LV"/>
              </w:rPr>
            </w:pPr>
            <w:r w:rsidRPr="007504E6">
              <w:rPr>
                <w:b/>
                <w:bCs/>
                <w:szCs w:val="20"/>
                <w:lang w:val="en-GB"/>
              </w:rPr>
              <w:t>The level of wages in the construction industry in the EU countries</w:t>
            </w:r>
          </w:p>
        </w:tc>
        <w:tc>
          <w:tcPr>
            <w:tcW w:w="1350" w:type="dxa"/>
            <w:noWrap/>
            <w:hideMark/>
          </w:tcPr>
          <w:p w14:paraId="0DA5C2FE" w14:textId="75193977" w:rsidR="004739FA" w:rsidRPr="007504E6" w:rsidRDefault="004739FA" w:rsidP="004739FA">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57</w:t>
            </w:r>
          </w:p>
        </w:tc>
        <w:tc>
          <w:tcPr>
            <w:tcW w:w="1689" w:type="dxa"/>
            <w:noWrap/>
            <w:hideMark/>
          </w:tcPr>
          <w:p w14:paraId="2B363FC6" w14:textId="20642F8D" w:rsidR="004739FA" w:rsidRPr="007504E6" w:rsidRDefault="004739FA" w:rsidP="004739FA">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7.05</w:t>
            </w:r>
          </w:p>
        </w:tc>
      </w:tr>
      <w:tr w:rsidR="004739FA" w:rsidRPr="007504E6" w14:paraId="063B542B" w14:textId="77777777" w:rsidTr="006B459B">
        <w:trPr>
          <w:trHeight w:val="288"/>
        </w:trPr>
        <w:tc>
          <w:tcPr>
            <w:tcW w:w="6028" w:type="dxa"/>
            <w:gridSpan w:val="2"/>
            <w:noWrap/>
            <w:hideMark/>
          </w:tcPr>
          <w:p w14:paraId="42AEF3AC" w14:textId="774A75E3" w:rsidR="004739FA" w:rsidRPr="007504E6" w:rsidRDefault="004739FA" w:rsidP="00D64210">
            <w:pPr>
              <w:pStyle w:val="Sarakstarindkopa"/>
              <w:numPr>
                <w:ilvl w:val="0"/>
                <w:numId w:val="12"/>
              </w:numPr>
              <w:spacing w:line="240" w:lineRule="auto"/>
              <w:jc w:val="left"/>
              <w:rPr>
                <w:rFonts w:ascii="Times New Roman" w:eastAsia="Times New Roman" w:hAnsi="Times New Roman" w:cs="Times New Roman"/>
                <w:b/>
                <w:bCs/>
                <w:color w:val="000000"/>
                <w:lang w:val="en-GB" w:eastAsia="lv-LV"/>
              </w:rPr>
            </w:pPr>
            <w:r w:rsidRPr="007504E6">
              <w:rPr>
                <w:b/>
                <w:bCs/>
                <w:szCs w:val="20"/>
                <w:lang w:val="en-GB"/>
              </w:rPr>
              <w:t xml:space="preserve">EU </w:t>
            </w:r>
            <w:proofErr w:type="spellStart"/>
            <w:r w:rsidRPr="007504E6">
              <w:rPr>
                <w:b/>
                <w:bCs/>
                <w:szCs w:val="20"/>
                <w:lang w:val="en-GB"/>
              </w:rPr>
              <w:t>labor</w:t>
            </w:r>
            <w:proofErr w:type="spellEnd"/>
            <w:r w:rsidRPr="007504E6">
              <w:rPr>
                <w:b/>
                <w:bCs/>
                <w:szCs w:val="20"/>
                <w:lang w:val="en-GB"/>
              </w:rPr>
              <w:t xml:space="preserve"> demand in the construction sector</w:t>
            </w:r>
          </w:p>
        </w:tc>
        <w:tc>
          <w:tcPr>
            <w:tcW w:w="1350" w:type="dxa"/>
            <w:noWrap/>
            <w:hideMark/>
          </w:tcPr>
          <w:p w14:paraId="056BAF6A" w14:textId="627EA4BB" w:rsidR="004739FA" w:rsidRPr="007504E6" w:rsidRDefault="004739FA" w:rsidP="004739FA">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58</w:t>
            </w:r>
          </w:p>
        </w:tc>
        <w:tc>
          <w:tcPr>
            <w:tcW w:w="1689" w:type="dxa"/>
            <w:noWrap/>
            <w:hideMark/>
          </w:tcPr>
          <w:p w14:paraId="0F352E3B" w14:textId="3E159CC5" w:rsidR="004739FA" w:rsidRPr="007504E6" w:rsidRDefault="004739FA" w:rsidP="004739FA">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6.90</w:t>
            </w:r>
          </w:p>
        </w:tc>
      </w:tr>
      <w:tr w:rsidR="004739FA" w:rsidRPr="007504E6" w14:paraId="1BE953AB" w14:textId="77777777" w:rsidTr="006B459B">
        <w:trPr>
          <w:trHeight w:val="288"/>
        </w:trPr>
        <w:tc>
          <w:tcPr>
            <w:tcW w:w="6028" w:type="dxa"/>
            <w:gridSpan w:val="2"/>
            <w:noWrap/>
            <w:hideMark/>
          </w:tcPr>
          <w:p w14:paraId="2D18BB15" w14:textId="5A2EACEB" w:rsidR="004739FA" w:rsidRPr="007504E6" w:rsidRDefault="004739FA" w:rsidP="00D64210">
            <w:pPr>
              <w:pStyle w:val="Sarakstarindkopa"/>
              <w:numPr>
                <w:ilvl w:val="0"/>
                <w:numId w:val="12"/>
              </w:numPr>
              <w:spacing w:line="240" w:lineRule="auto"/>
              <w:jc w:val="left"/>
              <w:rPr>
                <w:rFonts w:ascii="Times New Roman" w:eastAsia="Times New Roman" w:hAnsi="Times New Roman" w:cs="Times New Roman"/>
                <w:color w:val="000000"/>
                <w:lang w:val="en-GB" w:eastAsia="lv-LV"/>
              </w:rPr>
            </w:pPr>
            <w:r w:rsidRPr="007504E6">
              <w:rPr>
                <w:szCs w:val="20"/>
                <w:lang w:val="en-GB"/>
              </w:rPr>
              <w:t>Volume of construction plans implemented with public funds</w:t>
            </w:r>
          </w:p>
        </w:tc>
        <w:tc>
          <w:tcPr>
            <w:tcW w:w="1350" w:type="dxa"/>
            <w:noWrap/>
            <w:hideMark/>
          </w:tcPr>
          <w:p w14:paraId="7BB30C42" w14:textId="37C30A7E" w:rsidR="004739FA" w:rsidRPr="007504E6" w:rsidRDefault="004739FA" w:rsidP="004739FA">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58</w:t>
            </w:r>
          </w:p>
        </w:tc>
        <w:tc>
          <w:tcPr>
            <w:tcW w:w="1689" w:type="dxa"/>
            <w:noWrap/>
            <w:hideMark/>
          </w:tcPr>
          <w:p w14:paraId="1EEA41C1" w14:textId="6939D2F6" w:rsidR="004739FA" w:rsidRPr="007504E6" w:rsidRDefault="004739FA" w:rsidP="004739FA">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6.74</w:t>
            </w:r>
          </w:p>
        </w:tc>
      </w:tr>
      <w:tr w:rsidR="004739FA" w:rsidRPr="007504E6" w14:paraId="1D726FFC" w14:textId="77777777" w:rsidTr="006B459B">
        <w:trPr>
          <w:trHeight w:val="288"/>
        </w:trPr>
        <w:tc>
          <w:tcPr>
            <w:tcW w:w="6028" w:type="dxa"/>
            <w:gridSpan w:val="2"/>
            <w:noWrap/>
            <w:hideMark/>
          </w:tcPr>
          <w:p w14:paraId="613B96B1" w14:textId="5E026EC8" w:rsidR="004739FA" w:rsidRPr="007504E6" w:rsidRDefault="004739FA" w:rsidP="00D64210">
            <w:pPr>
              <w:pStyle w:val="Sarakstarindkopa"/>
              <w:numPr>
                <w:ilvl w:val="0"/>
                <w:numId w:val="12"/>
              </w:numPr>
              <w:spacing w:line="240" w:lineRule="auto"/>
              <w:jc w:val="left"/>
              <w:rPr>
                <w:rFonts w:ascii="Times New Roman" w:eastAsia="Times New Roman" w:hAnsi="Times New Roman" w:cs="Times New Roman"/>
                <w:color w:val="000000"/>
                <w:lang w:val="en-GB" w:eastAsia="lv-LV"/>
              </w:rPr>
            </w:pPr>
            <w:proofErr w:type="spellStart"/>
            <w:r w:rsidRPr="007504E6">
              <w:rPr>
                <w:szCs w:val="20"/>
                <w:lang w:val="en-GB"/>
              </w:rPr>
              <w:t>Labor</w:t>
            </w:r>
            <w:proofErr w:type="spellEnd"/>
            <w:r w:rsidRPr="007504E6">
              <w:rPr>
                <w:szCs w:val="20"/>
                <w:lang w:val="en-GB"/>
              </w:rPr>
              <w:t xml:space="preserve"> tax level in Latvia</w:t>
            </w:r>
          </w:p>
        </w:tc>
        <w:tc>
          <w:tcPr>
            <w:tcW w:w="1350" w:type="dxa"/>
            <w:noWrap/>
            <w:hideMark/>
          </w:tcPr>
          <w:p w14:paraId="1556E101" w14:textId="02EFB6B1" w:rsidR="004739FA" w:rsidRPr="007504E6" w:rsidRDefault="004739FA" w:rsidP="004739FA">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59</w:t>
            </w:r>
          </w:p>
        </w:tc>
        <w:tc>
          <w:tcPr>
            <w:tcW w:w="1689" w:type="dxa"/>
            <w:noWrap/>
            <w:hideMark/>
          </w:tcPr>
          <w:p w14:paraId="4102A4A0" w14:textId="5B044F85" w:rsidR="004739FA" w:rsidRPr="007504E6" w:rsidRDefault="004739FA" w:rsidP="004739FA">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6.73</w:t>
            </w:r>
          </w:p>
        </w:tc>
      </w:tr>
      <w:tr w:rsidR="004739FA" w:rsidRPr="007504E6" w14:paraId="483F8FD0" w14:textId="77777777" w:rsidTr="006B459B">
        <w:trPr>
          <w:trHeight w:val="288"/>
        </w:trPr>
        <w:tc>
          <w:tcPr>
            <w:tcW w:w="6028" w:type="dxa"/>
            <w:gridSpan w:val="2"/>
            <w:noWrap/>
            <w:hideMark/>
          </w:tcPr>
          <w:p w14:paraId="4A3ED290" w14:textId="6B51C8D4" w:rsidR="004739FA" w:rsidRPr="007504E6" w:rsidRDefault="004739FA" w:rsidP="00D64210">
            <w:pPr>
              <w:pStyle w:val="Sarakstarindkopa"/>
              <w:numPr>
                <w:ilvl w:val="0"/>
                <w:numId w:val="12"/>
              </w:numPr>
              <w:spacing w:line="240" w:lineRule="auto"/>
              <w:jc w:val="left"/>
              <w:rPr>
                <w:rFonts w:ascii="Times New Roman" w:eastAsia="Times New Roman" w:hAnsi="Times New Roman" w:cs="Times New Roman"/>
                <w:color w:val="000000"/>
                <w:lang w:val="en-GB" w:eastAsia="lv-LV"/>
              </w:rPr>
            </w:pPr>
            <w:r w:rsidRPr="007504E6">
              <w:rPr>
                <w:szCs w:val="20"/>
                <w:lang w:val="en-GB"/>
              </w:rPr>
              <w:t>Number of learners in construction-related education programs in Latvia</w:t>
            </w:r>
          </w:p>
        </w:tc>
        <w:tc>
          <w:tcPr>
            <w:tcW w:w="1350" w:type="dxa"/>
            <w:noWrap/>
            <w:hideMark/>
          </w:tcPr>
          <w:p w14:paraId="701CC11E" w14:textId="7808169B" w:rsidR="004739FA" w:rsidRPr="007504E6" w:rsidRDefault="004739FA" w:rsidP="004739FA">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58</w:t>
            </w:r>
          </w:p>
        </w:tc>
        <w:tc>
          <w:tcPr>
            <w:tcW w:w="1689" w:type="dxa"/>
            <w:noWrap/>
            <w:hideMark/>
          </w:tcPr>
          <w:p w14:paraId="1A2994D6" w14:textId="792663C7" w:rsidR="004739FA" w:rsidRPr="007504E6" w:rsidRDefault="004739FA" w:rsidP="004739FA">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5.90</w:t>
            </w:r>
          </w:p>
        </w:tc>
      </w:tr>
      <w:tr w:rsidR="004739FA" w:rsidRPr="007504E6" w14:paraId="482A1D9D" w14:textId="77777777" w:rsidTr="006B459B">
        <w:trPr>
          <w:trHeight w:val="288"/>
        </w:trPr>
        <w:tc>
          <w:tcPr>
            <w:tcW w:w="6028" w:type="dxa"/>
            <w:gridSpan w:val="2"/>
            <w:noWrap/>
            <w:hideMark/>
          </w:tcPr>
          <w:p w14:paraId="497CEFA2" w14:textId="2828FE0E" w:rsidR="004739FA" w:rsidRPr="007504E6" w:rsidRDefault="004739FA" w:rsidP="00D64210">
            <w:pPr>
              <w:pStyle w:val="Sarakstarindkopa"/>
              <w:numPr>
                <w:ilvl w:val="0"/>
                <w:numId w:val="12"/>
              </w:numPr>
              <w:spacing w:line="240" w:lineRule="auto"/>
              <w:jc w:val="left"/>
              <w:rPr>
                <w:rFonts w:ascii="Times New Roman" w:eastAsia="Times New Roman" w:hAnsi="Times New Roman" w:cs="Times New Roman"/>
                <w:color w:val="000000"/>
                <w:lang w:val="en-GB" w:eastAsia="lv-LV"/>
              </w:rPr>
            </w:pPr>
            <w:r w:rsidRPr="007504E6">
              <w:rPr>
                <w:szCs w:val="20"/>
                <w:lang w:val="en-GB"/>
              </w:rPr>
              <w:t>Wage levels in other EU sectors</w:t>
            </w:r>
          </w:p>
        </w:tc>
        <w:tc>
          <w:tcPr>
            <w:tcW w:w="1350" w:type="dxa"/>
            <w:noWrap/>
            <w:hideMark/>
          </w:tcPr>
          <w:p w14:paraId="3E023B8A" w14:textId="72F26847" w:rsidR="004739FA" w:rsidRPr="007504E6" w:rsidRDefault="004739FA" w:rsidP="004739FA">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58</w:t>
            </w:r>
          </w:p>
        </w:tc>
        <w:tc>
          <w:tcPr>
            <w:tcW w:w="1689" w:type="dxa"/>
            <w:noWrap/>
            <w:hideMark/>
          </w:tcPr>
          <w:p w14:paraId="76B2E5E3" w14:textId="442546A9" w:rsidR="004739FA" w:rsidRPr="007504E6" w:rsidRDefault="004739FA" w:rsidP="004739FA">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5.86</w:t>
            </w:r>
          </w:p>
        </w:tc>
      </w:tr>
      <w:tr w:rsidR="004739FA" w:rsidRPr="007504E6" w14:paraId="561B0215" w14:textId="77777777" w:rsidTr="006B459B">
        <w:trPr>
          <w:trHeight w:val="288"/>
        </w:trPr>
        <w:tc>
          <w:tcPr>
            <w:tcW w:w="6028" w:type="dxa"/>
            <w:gridSpan w:val="2"/>
            <w:noWrap/>
            <w:hideMark/>
          </w:tcPr>
          <w:p w14:paraId="12BEFC76" w14:textId="652C2098" w:rsidR="004739FA" w:rsidRPr="007504E6" w:rsidRDefault="004739FA" w:rsidP="00D64210">
            <w:pPr>
              <w:pStyle w:val="Sarakstarindkopa"/>
              <w:numPr>
                <w:ilvl w:val="0"/>
                <w:numId w:val="12"/>
              </w:numPr>
              <w:spacing w:line="240" w:lineRule="auto"/>
              <w:jc w:val="left"/>
              <w:rPr>
                <w:rFonts w:ascii="Times New Roman" w:eastAsia="Times New Roman" w:hAnsi="Times New Roman" w:cs="Times New Roman"/>
                <w:color w:val="000000"/>
                <w:lang w:val="en-GB" w:eastAsia="lv-LV"/>
              </w:rPr>
            </w:pPr>
            <w:r w:rsidRPr="007504E6">
              <w:rPr>
                <w:szCs w:val="20"/>
                <w:lang w:val="en-GB"/>
              </w:rPr>
              <w:t>Extent of measures to combat the shadow economy in Latvia</w:t>
            </w:r>
          </w:p>
        </w:tc>
        <w:tc>
          <w:tcPr>
            <w:tcW w:w="1350" w:type="dxa"/>
            <w:noWrap/>
            <w:hideMark/>
          </w:tcPr>
          <w:p w14:paraId="32BB22A2" w14:textId="252B829D" w:rsidR="004739FA" w:rsidRPr="007504E6" w:rsidRDefault="004739FA" w:rsidP="004739FA">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58</w:t>
            </w:r>
          </w:p>
        </w:tc>
        <w:tc>
          <w:tcPr>
            <w:tcW w:w="1689" w:type="dxa"/>
            <w:noWrap/>
            <w:hideMark/>
          </w:tcPr>
          <w:p w14:paraId="502C7F43" w14:textId="267E1AF1" w:rsidR="004739FA" w:rsidRPr="007504E6" w:rsidRDefault="004739FA" w:rsidP="004739FA">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5.81</w:t>
            </w:r>
          </w:p>
        </w:tc>
      </w:tr>
      <w:tr w:rsidR="004739FA" w:rsidRPr="007504E6" w14:paraId="41C19CF4" w14:textId="77777777" w:rsidTr="006B459B">
        <w:trPr>
          <w:trHeight w:val="288"/>
        </w:trPr>
        <w:tc>
          <w:tcPr>
            <w:tcW w:w="6028" w:type="dxa"/>
            <w:gridSpan w:val="2"/>
            <w:noWrap/>
            <w:hideMark/>
          </w:tcPr>
          <w:p w14:paraId="652BCA2D" w14:textId="75AD7690" w:rsidR="004739FA" w:rsidRPr="007504E6" w:rsidRDefault="004739FA" w:rsidP="00D64210">
            <w:pPr>
              <w:pStyle w:val="Sarakstarindkopa"/>
              <w:numPr>
                <w:ilvl w:val="0"/>
                <w:numId w:val="12"/>
              </w:numPr>
              <w:spacing w:line="240" w:lineRule="auto"/>
              <w:jc w:val="left"/>
              <w:rPr>
                <w:rFonts w:ascii="Times New Roman" w:eastAsia="Times New Roman" w:hAnsi="Times New Roman" w:cs="Times New Roman"/>
                <w:color w:val="000000"/>
                <w:lang w:val="en-GB" w:eastAsia="lv-LV"/>
              </w:rPr>
            </w:pPr>
            <w:proofErr w:type="spellStart"/>
            <w:r w:rsidRPr="007504E6">
              <w:rPr>
                <w:szCs w:val="20"/>
                <w:lang w:val="en-GB"/>
              </w:rPr>
              <w:t>Labor</w:t>
            </w:r>
            <w:proofErr w:type="spellEnd"/>
            <w:r w:rsidRPr="007504E6">
              <w:rPr>
                <w:szCs w:val="20"/>
                <w:lang w:val="en-GB"/>
              </w:rPr>
              <w:t xml:space="preserve"> migration balance in Latvia</w:t>
            </w:r>
          </w:p>
        </w:tc>
        <w:tc>
          <w:tcPr>
            <w:tcW w:w="1350" w:type="dxa"/>
            <w:noWrap/>
            <w:hideMark/>
          </w:tcPr>
          <w:p w14:paraId="54F501B6" w14:textId="154342F2" w:rsidR="004739FA" w:rsidRPr="007504E6" w:rsidRDefault="004739FA" w:rsidP="004739FA">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58</w:t>
            </w:r>
          </w:p>
        </w:tc>
        <w:tc>
          <w:tcPr>
            <w:tcW w:w="1689" w:type="dxa"/>
            <w:noWrap/>
            <w:hideMark/>
          </w:tcPr>
          <w:p w14:paraId="564F7829" w14:textId="5979EB17" w:rsidR="004739FA" w:rsidRPr="007504E6" w:rsidRDefault="004739FA" w:rsidP="004739FA">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5.71</w:t>
            </w:r>
          </w:p>
        </w:tc>
      </w:tr>
      <w:tr w:rsidR="004739FA" w:rsidRPr="007504E6" w14:paraId="11364270" w14:textId="77777777" w:rsidTr="006B459B">
        <w:trPr>
          <w:trHeight w:val="288"/>
        </w:trPr>
        <w:tc>
          <w:tcPr>
            <w:tcW w:w="6028" w:type="dxa"/>
            <w:gridSpan w:val="2"/>
            <w:noWrap/>
            <w:hideMark/>
          </w:tcPr>
          <w:p w14:paraId="3BAF113C" w14:textId="77F59B7E" w:rsidR="004739FA" w:rsidRPr="007504E6" w:rsidRDefault="004739FA" w:rsidP="00D64210">
            <w:pPr>
              <w:pStyle w:val="Sarakstarindkopa"/>
              <w:numPr>
                <w:ilvl w:val="0"/>
                <w:numId w:val="12"/>
              </w:numPr>
              <w:spacing w:line="240" w:lineRule="auto"/>
              <w:jc w:val="left"/>
              <w:rPr>
                <w:rFonts w:ascii="Times New Roman" w:eastAsia="Times New Roman" w:hAnsi="Times New Roman" w:cs="Times New Roman"/>
                <w:color w:val="000000"/>
                <w:lang w:val="en-GB" w:eastAsia="lv-LV"/>
              </w:rPr>
            </w:pPr>
            <w:r w:rsidRPr="007504E6">
              <w:rPr>
                <w:szCs w:val="20"/>
                <w:lang w:val="en-GB"/>
              </w:rPr>
              <w:t>Intensity of digitization of construction processes</w:t>
            </w:r>
          </w:p>
        </w:tc>
        <w:tc>
          <w:tcPr>
            <w:tcW w:w="1350" w:type="dxa"/>
            <w:noWrap/>
            <w:hideMark/>
          </w:tcPr>
          <w:p w14:paraId="7B6A0E19" w14:textId="55AA0439" w:rsidR="004739FA" w:rsidRPr="007504E6" w:rsidRDefault="004739FA" w:rsidP="004739FA">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59</w:t>
            </w:r>
          </w:p>
        </w:tc>
        <w:tc>
          <w:tcPr>
            <w:tcW w:w="1689" w:type="dxa"/>
            <w:noWrap/>
            <w:hideMark/>
          </w:tcPr>
          <w:p w14:paraId="2EABD5CF" w14:textId="655DBFEE" w:rsidR="004739FA" w:rsidRPr="007504E6" w:rsidRDefault="004739FA" w:rsidP="004739FA">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5.27</w:t>
            </w:r>
          </w:p>
        </w:tc>
      </w:tr>
      <w:tr w:rsidR="004739FA" w:rsidRPr="007504E6" w14:paraId="4130F345" w14:textId="77777777" w:rsidTr="006B459B">
        <w:trPr>
          <w:trHeight w:val="288"/>
        </w:trPr>
        <w:tc>
          <w:tcPr>
            <w:tcW w:w="6028" w:type="dxa"/>
            <w:gridSpan w:val="2"/>
            <w:noWrap/>
            <w:hideMark/>
          </w:tcPr>
          <w:p w14:paraId="699F8D2A" w14:textId="00525F98" w:rsidR="004739FA" w:rsidRPr="007504E6" w:rsidRDefault="004739FA" w:rsidP="00D64210">
            <w:pPr>
              <w:pStyle w:val="Sarakstarindkopa"/>
              <w:numPr>
                <w:ilvl w:val="0"/>
                <w:numId w:val="12"/>
              </w:numPr>
              <w:spacing w:line="240" w:lineRule="auto"/>
              <w:jc w:val="left"/>
              <w:rPr>
                <w:rFonts w:ascii="Times New Roman" w:eastAsia="Times New Roman" w:hAnsi="Times New Roman" w:cs="Times New Roman"/>
                <w:color w:val="000000"/>
                <w:lang w:val="en-GB" w:eastAsia="lv-LV"/>
              </w:rPr>
            </w:pPr>
            <w:r w:rsidRPr="007504E6">
              <w:rPr>
                <w:szCs w:val="20"/>
                <w:lang w:val="en-GB"/>
              </w:rPr>
              <w:t xml:space="preserve">Construction of the project “Rail </w:t>
            </w:r>
            <w:proofErr w:type="spellStart"/>
            <w:r w:rsidRPr="007504E6">
              <w:rPr>
                <w:szCs w:val="20"/>
                <w:lang w:val="en-GB"/>
              </w:rPr>
              <w:t>Baltica</w:t>
            </w:r>
            <w:proofErr w:type="spellEnd"/>
            <w:r w:rsidRPr="007504E6">
              <w:rPr>
                <w:szCs w:val="20"/>
                <w:lang w:val="en-GB"/>
              </w:rPr>
              <w:t>”</w:t>
            </w:r>
          </w:p>
        </w:tc>
        <w:tc>
          <w:tcPr>
            <w:tcW w:w="1350" w:type="dxa"/>
            <w:noWrap/>
            <w:hideMark/>
          </w:tcPr>
          <w:p w14:paraId="380C5249" w14:textId="2A5B8558" w:rsidR="004739FA" w:rsidRPr="007504E6" w:rsidRDefault="004739FA" w:rsidP="004739FA">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58</w:t>
            </w:r>
          </w:p>
        </w:tc>
        <w:tc>
          <w:tcPr>
            <w:tcW w:w="1689" w:type="dxa"/>
            <w:noWrap/>
            <w:hideMark/>
          </w:tcPr>
          <w:p w14:paraId="4BBD88AB" w14:textId="5AE77834" w:rsidR="004739FA" w:rsidRPr="007504E6" w:rsidRDefault="004739FA" w:rsidP="004739FA">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5.16</w:t>
            </w:r>
          </w:p>
        </w:tc>
      </w:tr>
      <w:tr w:rsidR="004739FA" w:rsidRPr="007504E6" w14:paraId="7D084420" w14:textId="77777777" w:rsidTr="006B459B">
        <w:trPr>
          <w:trHeight w:val="288"/>
        </w:trPr>
        <w:tc>
          <w:tcPr>
            <w:tcW w:w="6028" w:type="dxa"/>
            <w:gridSpan w:val="2"/>
            <w:noWrap/>
            <w:hideMark/>
          </w:tcPr>
          <w:p w14:paraId="0DF16E2B" w14:textId="4F160F6E" w:rsidR="004739FA" w:rsidRPr="007504E6" w:rsidRDefault="004739FA" w:rsidP="00D64210">
            <w:pPr>
              <w:pStyle w:val="Sarakstarindkopa"/>
              <w:numPr>
                <w:ilvl w:val="0"/>
                <w:numId w:val="12"/>
              </w:numPr>
              <w:spacing w:line="240" w:lineRule="auto"/>
              <w:jc w:val="left"/>
              <w:rPr>
                <w:rFonts w:ascii="Times New Roman" w:eastAsia="Times New Roman" w:hAnsi="Times New Roman" w:cs="Times New Roman"/>
                <w:color w:val="000000"/>
                <w:lang w:val="en-GB" w:eastAsia="lv-LV"/>
              </w:rPr>
            </w:pPr>
            <w:r w:rsidRPr="007504E6">
              <w:rPr>
                <w:szCs w:val="20"/>
                <w:lang w:val="en-GB"/>
              </w:rPr>
              <w:t>Implementation of sustainability principles in construction (energy efficiency, eco-construction, etc.)</w:t>
            </w:r>
          </w:p>
        </w:tc>
        <w:tc>
          <w:tcPr>
            <w:tcW w:w="1350" w:type="dxa"/>
            <w:noWrap/>
            <w:hideMark/>
          </w:tcPr>
          <w:p w14:paraId="0C48343F" w14:textId="632F22A0" w:rsidR="004739FA" w:rsidRPr="007504E6" w:rsidRDefault="004739FA" w:rsidP="004739FA">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58</w:t>
            </w:r>
          </w:p>
        </w:tc>
        <w:tc>
          <w:tcPr>
            <w:tcW w:w="1689" w:type="dxa"/>
            <w:noWrap/>
            <w:hideMark/>
          </w:tcPr>
          <w:p w14:paraId="490918C6" w14:textId="798FE7EF" w:rsidR="004739FA" w:rsidRPr="007504E6" w:rsidRDefault="004739FA" w:rsidP="004739FA">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5.02</w:t>
            </w:r>
          </w:p>
        </w:tc>
      </w:tr>
      <w:tr w:rsidR="004739FA" w:rsidRPr="007504E6" w14:paraId="6DF73E94" w14:textId="77777777" w:rsidTr="006B459B">
        <w:trPr>
          <w:trHeight w:val="288"/>
        </w:trPr>
        <w:tc>
          <w:tcPr>
            <w:tcW w:w="6028" w:type="dxa"/>
            <w:gridSpan w:val="2"/>
            <w:noWrap/>
            <w:hideMark/>
          </w:tcPr>
          <w:p w14:paraId="412A793C" w14:textId="4123C3A3" w:rsidR="004739FA" w:rsidRPr="007504E6" w:rsidRDefault="004739FA" w:rsidP="00D64210">
            <w:pPr>
              <w:pStyle w:val="Sarakstarindkopa"/>
              <w:numPr>
                <w:ilvl w:val="0"/>
                <w:numId w:val="12"/>
              </w:numPr>
              <w:spacing w:line="240" w:lineRule="auto"/>
              <w:jc w:val="left"/>
              <w:rPr>
                <w:rFonts w:ascii="Times New Roman" w:eastAsia="Times New Roman" w:hAnsi="Times New Roman" w:cs="Times New Roman"/>
                <w:color w:val="000000"/>
                <w:lang w:val="en-GB" w:eastAsia="lv-LV"/>
              </w:rPr>
            </w:pPr>
            <w:r w:rsidRPr="007504E6">
              <w:rPr>
                <w:szCs w:val="20"/>
                <w:lang w:val="en-GB"/>
              </w:rPr>
              <w:t>Planned mandatory involvement of an engineering consultant in public procurement</w:t>
            </w:r>
          </w:p>
        </w:tc>
        <w:tc>
          <w:tcPr>
            <w:tcW w:w="1350" w:type="dxa"/>
            <w:noWrap/>
            <w:hideMark/>
          </w:tcPr>
          <w:p w14:paraId="7B8CE7D1" w14:textId="0A7961E4" w:rsidR="004739FA" w:rsidRPr="007504E6" w:rsidRDefault="004739FA" w:rsidP="004739FA">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56</w:t>
            </w:r>
          </w:p>
        </w:tc>
        <w:tc>
          <w:tcPr>
            <w:tcW w:w="1689" w:type="dxa"/>
            <w:noWrap/>
            <w:hideMark/>
          </w:tcPr>
          <w:p w14:paraId="67A632C9" w14:textId="22E3C932" w:rsidR="004739FA" w:rsidRPr="007504E6" w:rsidRDefault="004739FA" w:rsidP="004739FA">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4.86</w:t>
            </w:r>
          </w:p>
        </w:tc>
      </w:tr>
      <w:tr w:rsidR="004739FA" w:rsidRPr="007504E6" w14:paraId="5A157E0F" w14:textId="77777777" w:rsidTr="006B459B">
        <w:trPr>
          <w:trHeight w:val="288"/>
        </w:trPr>
        <w:tc>
          <w:tcPr>
            <w:tcW w:w="6028" w:type="dxa"/>
            <w:gridSpan w:val="2"/>
            <w:noWrap/>
            <w:hideMark/>
          </w:tcPr>
          <w:p w14:paraId="4128B3BE" w14:textId="7871FE13" w:rsidR="004739FA" w:rsidRPr="007504E6" w:rsidRDefault="004739FA" w:rsidP="00D64210">
            <w:pPr>
              <w:pStyle w:val="Sarakstarindkopa"/>
              <w:numPr>
                <w:ilvl w:val="0"/>
                <w:numId w:val="12"/>
              </w:numPr>
              <w:spacing w:line="240" w:lineRule="auto"/>
              <w:jc w:val="left"/>
              <w:rPr>
                <w:rFonts w:ascii="Times New Roman" w:eastAsia="Times New Roman" w:hAnsi="Times New Roman" w:cs="Times New Roman"/>
                <w:color w:val="000000"/>
                <w:lang w:val="en-GB" w:eastAsia="lv-LV"/>
              </w:rPr>
            </w:pPr>
            <w:r w:rsidRPr="007504E6">
              <w:rPr>
                <w:szCs w:val="20"/>
                <w:lang w:val="en-GB"/>
              </w:rPr>
              <w:t>Unemployment rate in Latvia</w:t>
            </w:r>
          </w:p>
        </w:tc>
        <w:tc>
          <w:tcPr>
            <w:tcW w:w="1350" w:type="dxa"/>
            <w:noWrap/>
            <w:hideMark/>
          </w:tcPr>
          <w:p w14:paraId="5EDCB4EB" w14:textId="0448F4FE" w:rsidR="004739FA" w:rsidRPr="007504E6" w:rsidRDefault="004739FA" w:rsidP="004739FA">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58</w:t>
            </w:r>
          </w:p>
        </w:tc>
        <w:tc>
          <w:tcPr>
            <w:tcW w:w="1689" w:type="dxa"/>
            <w:noWrap/>
            <w:hideMark/>
          </w:tcPr>
          <w:p w14:paraId="54158ED6" w14:textId="4BC9D8FB" w:rsidR="004739FA" w:rsidRPr="007504E6" w:rsidRDefault="004739FA" w:rsidP="004739FA">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4.55</w:t>
            </w:r>
          </w:p>
        </w:tc>
      </w:tr>
      <w:tr w:rsidR="004739FA" w:rsidRPr="007504E6" w14:paraId="2BEE0F58" w14:textId="77777777" w:rsidTr="006B459B">
        <w:trPr>
          <w:trHeight w:val="288"/>
        </w:trPr>
        <w:tc>
          <w:tcPr>
            <w:tcW w:w="6028" w:type="dxa"/>
            <w:gridSpan w:val="2"/>
            <w:noWrap/>
            <w:hideMark/>
          </w:tcPr>
          <w:p w14:paraId="0591E8E2" w14:textId="28DA0106" w:rsidR="004739FA" w:rsidRPr="007504E6" w:rsidRDefault="004739FA" w:rsidP="00D64210">
            <w:pPr>
              <w:pStyle w:val="Sarakstarindkopa"/>
              <w:numPr>
                <w:ilvl w:val="0"/>
                <w:numId w:val="12"/>
              </w:numPr>
              <w:spacing w:line="240" w:lineRule="auto"/>
              <w:jc w:val="left"/>
              <w:rPr>
                <w:rFonts w:ascii="Times New Roman" w:eastAsia="Times New Roman" w:hAnsi="Times New Roman" w:cs="Times New Roman"/>
                <w:color w:val="000000"/>
                <w:lang w:val="en-GB" w:eastAsia="lv-LV"/>
              </w:rPr>
            </w:pPr>
            <w:r w:rsidRPr="007504E6">
              <w:rPr>
                <w:szCs w:val="20"/>
                <w:lang w:val="en-GB"/>
              </w:rPr>
              <w:t>Extent of epidemiological safety measures</w:t>
            </w:r>
          </w:p>
        </w:tc>
        <w:tc>
          <w:tcPr>
            <w:tcW w:w="1350" w:type="dxa"/>
            <w:noWrap/>
            <w:hideMark/>
          </w:tcPr>
          <w:p w14:paraId="14A171FC" w14:textId="3D716621" w:rsidR="004739FA" w:rsidRPr="007504E6" w:rsidRDefault="004739FA" w:rsidP="004739FA">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58</w:t>
            </w:r>
          </w:p>
        </w:tc>
        <w:tc>
          <w:tcPr>
            <w:tcW w:w="1689" w:type="dxa"/>
            <w:noWrap/>
            <w:hideMark/>
          </w:tcPr>
          <w:p w14:paraId="109E8201" w14:textId="23228273" w:rsidR="004739FA" w:rsidRPr="007504E6" w:rsidRDefault="004739FA" w:rsidP="004739FA">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4.28</w:t>
            </w:r>
          </w:p>
        </w:tc>
      </w:tr>
      <w:tr w:rsidR="004739FA" w:rsidRPr="007504E6" w14:paraId="7A8088A8" w14:textId="77777777" w:rsidTr="006B459B">
        <w:trPr>
          <w:trHeight w:val="288"/>
        </w:trPr>
        <w:tc>
          <w:tcPr>
            <w:tcW w:w="6028" w:type="dxa"/>
            <w:gridSpan w:val="2"/>
            <w:noWrap/>
            <w:hideMark/>
          </w:tcPr>
          <w:p w14:paraId="66CF7889" w14:textId="79A6F90D" w:rsidR="004739FA" w:rsidRPr="007504E6" w:rsidRDefault="004739FA" w:rsidP="00D64210">
            <w:pPr>
              <w:pStyle w:val="Sarakstarindkopa"/>
              <w:numPr>
                <w:ilvl w:val="0"/>
                <w:numId w:val="12"/>
              </w:numPr>
              <w:spacing w:line="240" w:lineRule="auto"/>
              <w:jc w:val="left"/>
              <w:rPr>
                <w:rFonts w:ascii="Times New Roman" w:eastAsia="Times New Roman" w:hAnsi="Times New Roman" w:cs="Times New Roman"/>
                <w:color w:val="000000"/>
                <w:lang w:val="en-GB" w:eastAsia="lv-LV"/>
              </w:rPr>
            </w:pPr>
            <w:r w:rsidRPr="007504E6">
              <w:rPr>
                <w:szCs w:val="20"/>
                <w:lang w:val="en-GB"/>
              </w:rPr>
              <w:t>Unemployment rate in Latvia in other sectors (not construction)</w:t>
            </w:r>
          </w:p>
        </w:tc>
        <w:tc>
          <w:tcPr>
            <w:tcW w:w="1350" w:type="dxa"/>
            <w:noWrap/>
            <w:hideMark/>
          </w:tcPr>
          <w:p w14:paraId="59A5CAA2" w14:textId="37424ED0" w:rsidR="004739FA" w:rsidRPr="007504E6" w:rsidRDefault="004739FA" w:rsidP="004739FA">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58</w:t>
            </w:r>
          </w:p>
        </w:tc>
        <w:tc>
          <w:tcPr>
            <w:tcW w:w="1689" w:type="dxa"/>
            <w:noWrap/>
            <w:hideMark/>
          </w:tcPr>
          <w:p w14:paraId="485B8816" w14:textId="0A2CFF39" w:rsidR="004739FA" w:rsidRPr="007504E6" w:rsidRDefault="004739FA" w:rsidP="004739FA">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4.17</w:t>
            </w:r>
          </w:p>
        </w:tc>
      </w:tr>
    </w:tbl>
    <w:p w14:paraId="59991D05" w14:textId="77777777" w:rsidR="00D22D50" w:rsidRPr="007504E6" w:rsidRDefault="00D22D50" w:rsidP="00D22D50">
      <w:pPr>
        <w:spacing w:line="276" w:lineRule="auto"/>
        <w:ind w:firstLine="0"/>
        <w:rPr>
          <w:rFonts w:ascii="Times New Roman" w:hAnsi="Times New Roman" w:cs="Times New Roman"/>
          <w:lang w:val="en-GB"/>
        </w:rPr>
      </w:pPr>
    </w:p>
    <w:p w14:paraId="4F0F069A" w14:textId="77777777" w:rsidR="00CA0A81" w:rsidRPr="007504E6" w:rsidRDefault="00CA0A81" w:rsidP="00CA0A81">
      <w:pPr>
        <w:spacing w:line="276" w:lineRule="auto"/>
        <w:ind w:firstLine="0"/>
        <w:rPr>
          <w:rFonts w:ascii="Times New Roman" w:hAnsi="Times New Roman" w:cs="Times New Roman"/>
          <w:lang w:val="en-GB"/>
        </w:rPr>
      </w:pPr>
      <w:bookmarkStart w:id="7" w:name="_Hlk77166110"/>
      <w:r w:rsidRPr="007504E6">
        <w:rPr>
          <w:rFonts w:ascii="Times New Roman" w:hAnsi="Times New Roman" w:cs="Times New Roman"/>
          <w:lang w:val="en-GB"/>
        </w:rPr>
        <w:t xml:space="preserve">The three most important factors influencing </w:t>
      </w:r>
      <w:proofErr w:type="spellStart"/>
      <w:r w:rsidRPr="007504E6">
        <w:rPr>
          <w:rFonts w:ascii="Times New Roman" w:hAnsi="Times New Roman" w:cs="Times New Roman"/>
          <w:lang w:val="en-GB"/>
        </w:rPr>
        <w:t>labor</w:t>
      </w:r>
      <w:proofErr w:type="spellEnd"/>
      <w:r w:rsidRPr="007504E6">
        <w:rPr>
          <w:rFonts w:ascii="Times New Roman" w:hAnsi="Times New Roman" w:cs="Times New Roman"/>
          <w:lang w:val="en-GB"/>
        </w:rPr>
        <w:t xml:space="preserve"> costs, based on the overall assessment, are the volume of construction in Latvia, the level of </w:t>
      </w:r>
      <w:proofErr w:type="spellStart"/>
      <w:r w:rsidRPr="007504E6">
        <w:rPr>
          <w:rFonts w:ascii="Times New Roman" w:hAnsi="Times New Roman" w:cs="Times New Roman"/>
          <w:lang w:val="en-GB"/>
        </w:rPr>
        <w:t>labor</w:t>
      </w:r>
      <w:proofErr w:type="spellEnd"/>
      <w:r w:rsidRPr="007504E6">
        <w:rPr>
          <w:rFonts w:ascii="Times New Roman" w:hAnsi="Times New Roman" w:cs="Times New Roman"/>
          <w:lang w:val="en-GB"/>
        </w:rPr>
        <w:t xml:space="preserve"> wages in the EU countries in the construction sector and the demand for </w:t>
      </w:r>
      <w:proofErr w:type="spellStart"/>
      <w:r w:rsidRPr="007504E6">
        <w:rPr>
          <w:rFonts w:ascii="Times New Roman" w:hAnsi="Times New Roman" w:cs="Times New Roman"/>
          <w:lang w:val="en-GB"/>
        </w:rPr>
        <w:t>labor</w:t>
      </w:r>
      <w:proofErr w:type="spellEnd"/>
      <w:r w:rsidRPr="007504E6">
        <w:rPr>
          <w:rFonts w:ascii="Times New Roman" w:hAnsi="Times New Roman" w:cs="Times New Roman"/>
          <w:lang w:val="en-GB"/>
        </w:rPr>
        <w:t xml:space="preserve"> in the EU construction sector. The level of </w:t>
      </w:r>
      <w:proofErr w:type="spellStart"/>
      <w:r w:rsidRPr="007504E6">
        <w:rPr>
          <w:rFonts w:ascii="Times New Roman" w:hAnsi="Times New Roman" w:cs="Times New Roman"/>
          <w:lang w:val="en-GB"/>
        </w:rPr>
        <w:t>labor</w:t>
      </w:r>
      <w:proofErr w:type="spellEnd"/>
      <w:r w:rsidRPr="007504E6">
        <w:rPr>
          <w:rFonts w:ascii="Times New Roman" w:hAnsi="Times New Roman" w:cs="Times New Roman"/>
          <w:lang w:val="en-GB"/>
        </w:rPr>
        <w:t xml:space="preserve"> taxes in Latvia, the demand for EU </w:t>
      </w:r>
      <w:proofErr w:type="spellStart"/>
      <w:r w:rsidRPr="007504E6">
        <w:rPr>
          <w:rFonts w:ascii="Times New Roman" w:hAnsi="Times New Roman" w:cs="Times New Roman"/>
          <w:lang w:val="en-GB"/>
        </w:rPr>
        <w:t>labor</w:t>
      </w:r>
      <w:proofErr w:type="spellEnd"/>
      <w:r w:rsidRPr="007504E6">
        <w:rPr>
          <w:rFonts w:ascii="Times New Roman" w:hAnsi="Times New Roman" w:cs="Times New Roman"/>
          <w:lang w:val="en-GB"/>
        </w:rPr>
        <w:t xml:space="preserve"> in the construction sector and the number of construction plans that are being implemented with public funds are also very important factors.</w:t>
      </w:r>
    </w:p>
    <w:p w14:paraId="0E7D2813" w14:textId="77777777" w:rsidR="00CA0A81" w:rsidRPr="007504E6" w:rsidRDefault="00CA0A81" w:rsidP="00CA0A81">
      <w:pPr>
        <w:spacing w:line="276" w:lineRule="auto"/>
        <w:ind w:firstLine="0"/>
        <w:rPr>
          <w:rFonts w:ascii="Times New Roman" w:hAnsi="Times New Roman" w:cs="Times New Roman"/>
          <w:lang w:val="en-GB"/>
        </w:rPr>
      </w:pPr>
    </w:p>
    <w:p w14:paraId="7B6D2D31" w14:textId="07D87334" w:rsidR="00D22D50" w:rsidRPr="007504E6" w:rsidRDefault="00CA0A81" w:rsidP="00CA0A81">
      <w:pPr>
        <w:spacing w:line="276" w:lineRule="auto"/>
        <w:ind w:firstLine="0"/>
        <w:rPr>
          <w:rFonts w:ascii="Times New Roman" w:hAnsi="Times New Roman" w:cs="Times New Roman"/>
          <w:lang w:val="en-GB"/>
        </w:rPr>
      </w:pPr>
      <w:r w:rsidRPr="007504E6">
        <w:rPr>
          <w:rFonts w:ascii="Times New Roman" w:hAnsi="Times New Roman" w:cs="Times New Roman"/>
          <w:lang w:val="en-GB"/>
        </w:rPr>
        <w:t>The above results refer to the overall assessment of the experts in all sectors, however, looking at the situation in more detail, there are differences in the sub-sectors. In general, regardless of the sub-sector represented by the expert, the overall trends are the same. However, some sub-sectors have more pronounced factors than others. For example, the construction of transport facilities is the most sensitive to the amount of educated workforce and the second most important factor was the number of learners in construction-related education programs in Latvia, which, in turn, was less important in other sub-sectors</w:t>
      </w:r>
      <w:r w:rsidR="009A5FA0" w:rsidRPr="007504E6">
        <w:rPr>
          <w:rFonts w:ascii="Times New Roman" w:hAnsi="Times New Roman" w:cs="Times New Roman"/>
          <w:lang w:val="en-GB"/>
        </w:rPr>
        <w:t>.</w:t>
      </w:r>
      <w:r w:rsidR="009F333D" w:rsidRPr="007504E6">
        <w:rPr>
          <w:rFonts w:ascii="Times New Roman" w:hAnsi="Times New Roman" w:cs="Times New Roman"/>
          <w:lang w:val="en-GB"/>
        </w:rPr>
        <w:t xml:space="preserve"> </w:t>
      </w:r>
    </w:p>
    <w:p w14:paraId="7FAE70B8" w14:textId="77777777" w:rsidR="006C13F0" w:rsidRPr="007504E6" w:rsidRDefault="006C13F0" w:rsidP="00D22D50">
      <w:pPr>
        <w:spacing w:line="276" w:lineRule="auto"/>
        <w:ind w:firstLine="0"/>
        <w:rPr>
          <w:rFonts w:ascii="Times New Roman" w:hAnsi="Times New Roman" w:cs="Times New Roman"/>
          <w:lang w:val="en-GB"/>
        </w:rPr>
      </w:pPr>
    </w:p>
    <w:bookmarkEnd w:id="7"/>
    <w:p w14:paraId="0CA63DDE" w14:textId="15C84811" w:rsidR="009825F7" w:rsidRPr="007504E6" w:rsidRDefault="00973941" w:rsidP="00D22D50">
      <w:pPr>
        <w:spacing w:line="276" w:lineRule="auto"/>
        <w:ind w:firstLine="0"/>
        <w:rPr>
          <w:rFonts w:ascii="Times New Roman" w:hAnsi="Times New Roman" w:cs="Times New Roman"/>
          <w:lang w:val="en-GB"/>
        </w:rPr>
      </w:pPr>
      <w:r w:rsidRPr="007504E6">
        <w:rPr>
          <w:rFonts w:ascii="Times New Roman" w:hAnsi="Times New Roman" w:cs="Times New Roman"/>
          <w:lang w:val="en-GB"/>
        </w:rPr>
        <w:t xml:space="preserve">In the sub-sector of construction of urban infrastructure objects, the second highest rating indicated the amount of construction plans implemented with public funds, which is understandable considering that this sub-sector is more dependent on public procurement than on orders from the private sector. On the other hand, experts in the sub-sector of architecture and engineering services, technical testing and analysis pointed out the intensity of digitization of construction processes as the second most important factor, which was generally not highly valued, but obviously has a significant impact on </w:t>
      </w:r>
      <w:proofErr w:type="spellStart"/>
      <w:r w:rsidRPr="007504E6">
        <w:rPr>
          <w:rFonts w:ascii="Times New Roman" w:hAnsi="Times New Roman" w:cs="Times New Roman"/>
          <w:lang w:val="en-GB"/>
        </w:rPr>
        <w:t>labor</w:t>
      </w:r>
      <w:proofErr w:type="spellEnd"/>
      <w:r w:rsidRPr="007504E6">
        <w:rPr>
          <w:rFonts w:ascii="Times New Roman" w:hAnsi="Times New Roman" w:cs="Times New Roman"/>
          <w:lang w:val="en-GB"/>
        </w:rPr>
        <w:t xml:space="preserve"> costs in this sub-sector. The second most important factor for experts in the construction materials trade sector, similarly to the urban construction sub-sector, is the level of </w:t>
      </w:r>
      <w:proofErr w:type="spellStart"/>
      <w:r w:rsidRPr="007504E6">
        <w:rPr>
          <w:rFonts w:ascii="Times New Roman" w:hAnsi="Times New Roman" w:cs="Times New Roman"/>
          <w:lang w:val="en-GB"/>
        </w:rPr>
        <w:t>labor</w:t>
      </w:r>
      <w:proofErr w:type="spellEnd"/>
      <w:r w:rsidRPr="007504E6">
        <w:rPr>
          <w:rFonts w:ascii="Times New Roman" w:hAnsi="Times New Roman" w:cs="Times New Roman"/>
          <w:lang w:val="en-GB"/>
        </w:rPr>
        <w:t xml:space="preserve"> wages in the construction sector in the EU countries</w:t>
      </w:r>
      <w:r w:rsidR="00672AE7" w:rsidRPr="007504E6">
        <w:rPr>
          <w:rFonts w:ascii="Times New Roman" w:hAnsi="Times New Roman" w:cs="Times New Roman"/>
          <w:lang w:val="en-GB"/>
        </w:rPr>
        <w:t>.</w:t>
      </w:r>
    </w:p>
    <w:p w14:paraId="120DC5CE" w14:textId="77777777" w:rsidR="00CE040F" w:rsidRPr="007504E6" w:rsidRDefault="00CE040F" w:rsidP="0010246A">
      <w:pPr>
        <w:rPr>
          <w:rFonts w:ascii="Times New Roman" w:hAnsi="Times New Roman" w:cs="Times New Roman"/>
          <w:lang w:val="en-GB"/>
        </w:rPr>
      </w:pPr>
    </w:p>
    <w:p w14:paraId="2FB5FD3E" w14:textId="3BFA3159" w:rsidR="00CE040F" w:rsidRPr="007504E6" w:rsidRDefault="00973941" w:rsidP="00D64210">
      <w:pPr>
        <w:pStyle w:val="Virsraksts3"/>
        <w:numPr>
          <w:ilvl w:val="2"/>
          <w:numId w:val="5"/>
        </w:numPr>
        <w:rPr>
          <w:rFonts w:ascii="Times New Roman" w:hAnsi="Times New Roman" w:cs="Times New Roman"/>
          <w:b/>
          <w:bCs/>
          <w:color w:val="262626" w:themeColor="text1" w:themeTint="D9"/>
          <w:sz w:val="24"/>
          <w:szCs w:val="28"/>
          <w:lang w:val="en-GB"/>
        </w:rPr>
      </w:pPr>
      <w:r w:rsidRPr="007504E6">
        <w:rPr>
          <w:rFonts w:ascii="Times New Roman" w:hAnsi="Times New Roman" w:cs="Times New Roman"/>
          <w:b/>
          <w:bCs/>
          <w:color w:val="262626" w:themeColor="text1" w:themeTint="D9"/>
          <w:sz w:val="24"/>
          <w:szCs w:val="28"/>
          <w:lang w:val="en-GB"/>
        </w:rPr>
        <w:t>Overall expert assessment of the factors influencing the cost of construction materials</w:t>
      </w:r>
    </w:p>
    <w:p w14:paraId="4AC76F15" w14:textId="615780CB" w:rsidR="006A3022" w:rsidRPr="007504E6" w:rsidRDefault="00973941" w:rsidP="006A3022">
      <w:pPr>
        <w:spacing w:line="276" w:lineRule="auto"/>
        <w:ind w:firstLine="0"/>
        <w:rPr>
          <w:rFonts w:ascii="Times New Roman" w:hAnsi="Times New Roman" w:cs="Times New Roman"/>
          <w:lang w:val="en-GB"/>
        </w:rPr>
      </w:pPr>
      <w:r w:rsidRPr="007504E6">
        <w:rPr>
          <w:rFonts w:ascii="Times New Roman" w:hAnsi="Times New Roman" w:cs="Times New Roman"/>
          <w:lang w:val="en-GB"/>
        </w:rPr>
        <w:t xml:space="preserve">The impact of various factors on </w:t>
      </w:r>
      <w:proofErr w:type="spellStart"/>
      <w:r w:rsidRPr="007504E6">
        <w:rPr>
          <w:rFonts w:ascii="Times New Roman" w:hAnsi="Times New Roman" w:cs="Times New Roman"/>
          <w:lang w:val="en-GB"/>
        </w:rPr>
        <w:t>labor</w:t>
      </w:r>
      <w:proofErr w:type="spellEnd"/>
      <w:r w:rsidRPr="007504E6">
        <w:rPr>
          <w:rFonts w:ascii="Times New Roman" w:hAnsi="Times New Roman" w:cs="Times New Roman"/>
          <w:lang w:val="en-GB"/>
        </w:rPr>
        <w:t xml:space="preserve"> costs in the construction sector was performed by both general experts and experts representing the construction sub-sector. The considered factors cover various areas, both at the Latvian and EU level. </w:t>
      </w:r>
      <w:proofErr w:type="spellStart"/>
      <w:r w:rsidRPr="007504E6">
        <w:rPr>
          <w:rFonts w:ascii="Times New Roman" w:hAnsi="Times New Roman" w:cs="Times New Roman"/>
          <w:lang w:val="en-GB"/>
        </w:rPr>
        <w:t>Analyzing</w:t>
      </w:r>
      <w:proofErr w:type="spellEnd"/>
      <w:r w:rsidRPr="007504E6">
        <w:rPr>
          <w:rFonts w:ascii="Times New Roman" w:hAnsi="Times New Roman" w:cs="Times New Roman"/>
          <w:lang w:val="en-GB"/>
        </w:rPr>
        <w:t xml:space="preserve"> the obtained expert answers, the average expert rating was calculated. Table 5. Factors were evaluated on a 10-point scale, where a higher score means that the factor is a more significant factor influencing </w:t>
      </w:r>
      <w:proofErr w:type="spellStart"/>
      <w:r w:rsidRPr="007504E6">
        <w:rPr>
          <w:rFonts w:ascii="Times New Roman" w:hAnsi="Times New Roman" w:cs="Times New Roman"/>
          <w:lang w:val="en-GB"/>
        </w:rPr>
        <w:t>labor</w:t>
      </w:r>
      <w:proofErr w:type="spellEnd"/>
      <w:r w:rsidRPr="007504E6">
        <w:rPr>
          <w:rFonts w:ascii="Times New Roman" w:hAnsi="Times New Roman" w:cs="Times New Roman"/>
          <w:lang w:val="en-GB"/>
        </w:rPr>
        <w:t xml:space="preserve"> costs in </w:t>
      </w:r>
      <w:r w:rsidR="00F0419C" w:rsidRPr="007504E6">
        <w:rPr>
          <w:rFonts w:ascii="Times New Roman" w:hAnsi="Times New Roman" w:cs="Times New Roman"/>
          <w:lang w:val="en-GB"/>
        </w:rPr>
        <w:t>construction.</w:t>
      </w:r>
      <w:r w:rsidR="00CE040F" w:rsidRPr="007504E6">
        <w:rPr>
          <w:rFonts w:ascii="Times New Roman" w:hAnsi="Times New Roman" w:cs="Times New Roman"/>
          <w:lang w:val="en-GB"/>
        </w:rPr>
        <w:t xml:space="preserve"> </w:t>
      </w:r>
    </w:p>
    <w:p w14:paraId="065BC6AF" w14:textId="0D38BDA8" w:rsidR="005F622A" w:rsidRPr="007504E6" w:rsidRDefault="00973941" w:rsidP="005F622A">
      <w:pPr>
        <w:pStyle w:val="Parakstszemobjekta"/>
        <w:spacing w:after="0"/>
        <w:jc w:val="right"/>
        <w:rPr>
          <w:rFonts w:ascii="Times New Roman" w:hAnsi="Times New Roman" w:cs="Times New Roman"/>
          <w:color w:val="262626" w:themeColor="text1" w:themeTint="D9"/>
          <w:lang w:val="en-GB"/>
        </w:rPr>
      </w:pPr>
      <w:bookmarkStart w:id="8" w:name="_Ref75107532"/>
      <w:r w:rsidRPr="007504E6">
        <w:rPr>
          <w:lang w:val="en-GB"/>
        </w:rPr>
        <w:t>Table</w:t>
      </w:r>
      <w:r w:rsidR="001B0C98" w:rsidRPr="007504E6">
        <w:rPr>
          <w:lang w:val="en-GB"/>
        </w:rPr>
        <w:t xml:space="preserve">  </w:t>
      </w:r>
      <w:r w:rsidR="00D64210" w:rsidRPr="007504E6">
        <w:rPr>
          <w:lang w:val="en-GB"/>
        </w:rPr>
        <w:fldChar w:fldCharType="begin"/>
      </w:r>
      <w:r w:rsidR="00D64210" w:rsidRPr="007504E6">
        <w:rPr>
          <w:lang w:val="en-GB"/>
        </w:rPr>
        <w:instrText xml:space="preserve"> SEQ Tab._ \* ARABIC </w:instrText>
      </w:r>
      <w:r w:rsidR="00D64210" w:rsidRPr="007504E6">
        <w:rPr>
          <w:lang w:val="en-GB"/>
        </w:rPr>
        <w:fldChar w:fldCharType="separate"/>
      </w:r>
      <w:r w:rsidR="00D500F7">
        <w:rPr>
          <w:noProof/>
          <w:lang w:val="en-GB"/>
        </w:rPr>
        <w:t>5</w:t>
      </w:r>
      <w:r w:rsidR="00D64210" w:rsidRPr="007504E6">
        <w:rPr>
          <w:noProof/>
          <w:lang w:val="en-GB"/>
        </w:rPr>
        <w:fldChar w:fldCharType="end"/>
      </w:r>
      <w:r w:rsidR="001B0C98" w:rsidRPr="007504E6">
        <w:rPr>
          <w:lang w:val="en-GB"/>
        </w:rPr>
        <w:t>.</w:t>
      </w:r>
      <w:bookmarkEnd w:id="8"/>
      <w:r w:rsidR="00CE040F" w:rsidRPr="007504E6">
        <w:rPr>
          <w:rFonts w:ascii="Times New Roman" w:hAnsi="Times New Roman" w:cs="Times New Roman"/>
          <w:color w:val="262626" w:themeColor="text1" w:themeTint="D9"/>
          <w:lang w:val="en-GB"/>
        </w:rPr>
        <w:t xml:space="preserve"> </w:t>
      </w:r>
    </w:p>
    <w:p w14:paraId="50895630" w14:textId="1AA266EF" w:rsidR="00CE040F" w:rsidRPr="007504E6" w:rsidRDefault="002E0A53" w:rsidP="005F622A">
      <w:pPr>
        <w:pStyle w:val="Parakstszemobjekta"/>
        <w:spacing w:after="0"/>
        <w:jc w:val="right"/>
        <w:rPr>
          <w:rFonts w:ascii="Times New Roman" w:hAnsi="Times New Roman" w:cs="Times New Roman"/>
          <w:color w:val="262626" w:themeColor="text1" w:themeTint="D9"/>
          <w:lang w:val="en-GB"/>
        </w:rPr>
      </w:pPr>
      <w:r w:rsidRPr="007504E6">
        <w:rPr>
          <w:rFonts w:ascii="Times New Roman" w:hAnsi="Times New Roman" w:cs="Times New Roman"/>
          <w:color w:val="262626" w:themeColor="text1" w:themeTint="D9"/>
          <w:lang w:val="en-GB"/>
        </w:rPr>
        <w:t>Average expert assessments of the factors influencing the cost of construction materials (all experts) on a 10-point scale, where 10 points indicate that the factor is extremely significant, while an assessment of 0 indicates that the factor has no effect</w:t>
      </w:r>
      <w:r w:rsidR="005040FF" w:rsidRPr="007504E6">
        <w:rPr>
          <w:rFonts w:ascii="Times New Roman" w:hAnsi="Times New Roman" w:cs="Times New Roman"/>
          <w:color w:val="262626" w:themeColor="text1" w:themeTint="D9"/>
          <w:lang w:val="en-GB"/>
        </w:rPr>
        <w:t>.</w:t>
      </w:r>
    </w:p>
    <w:tbl>
      <w:tblPr>
        <w:tblStyle w:val="ListTable4-Accent31"/>
        <w:tblW w:w="9022" w:type="dxa"/>
        <w:tblLook w:val="0420" w:firstRow="1" w:lastRow="0" w:firstColumn="0" w:lastColumn="0" w:noHBand="0" w:noVBand="1"/>
      </w:tblPr>
      <w:tblGrid>
        <w:gridCol w:w="789"/>
        <w:gridCol w:w="5451"/>
        <w:gridCol w:w="1419"/>
        <w:gridCol w:w="1363"/>
      </w:tblGrid>
      <w:tr w:rsidR="002E0A53" w:rsidRPr="007504E6" w14:paraId="5E38C3A3" w14:textId="77777777" w:rsidTr="001217BC">
        <w:trPr>
          <w:cnfStyle w:val="100000000000" w:firstRow="1" w:lastRow="0" w:firstColumn="0" w:lastColumn="0" w:oddVBand="0" w:evenVBand="0" w:oddHBand="0" w:evenHBand="0" w:firstRowFirstColumn="0" w:firstRowLastColumn="0" w:lastRowFirstColumn="0" w:lastRowLastColumn="0"/>
          <w:trHeight w:val="288"/>
        </w:trPr>
        <w:tc>
          <w:tcPr>
            <w:tcW w:w="789" w:type="dxa"/>
          </w:tcPr>
          <w:p w14:paraId="39B25B71" w14:textId="1924DE57" w:rsidR="002E0A53" w:rsidRPr="007504E6" w:rsidRDefault="002E0A53" w:rsidP="002E0A53">
            <w:pPr>
              <w:spacing w:line="240" w:lineRule="auto"/>
              <w:ind w:firstLine="0"/>
              <w:jc w:val="right"/>
              <w:rPr>
                <w:rFonts w:ascii="Times New Roman" w:eastAsia="Times New Roman" w:hAnsi="Times New Roman" w:cs="Times New Roman"/>
                <w:color w:val="000000"/>
                <w:lang w:val="en-GB" w:eastAsia="lv-LV"/>
              </w:rPr>
            </w:pPr>
            <w:r w:rsidRPr="007504E6">
              <w:rPr>
                <w:b w:val="0"/>
                <w:bCs w:val="0"/>
                <w:szCs w:val="20"/>
                <w:lang w:val="en-GB"/>
              </w:rPr>
              <w:t>No.</w:t>
            </w:r>
          </w:p>
        </w:tc>
        <w:tc>
          <w:tcPr>
            <w:tcW w:w="5451" w:type="dxa"/>
            <w:noWrap/>
            <w:hideMark/>
          </w:tcPr>
          <w:p w14:paraId="4841B0C0" w14:textId="77777777" w:rsidR="002E0A53" w:rsidRPr="007504E6" w:rsidRDefault="002E0A53" w:rsidP="002E0A53">
            <w:pPr>
              <w:pStyle w:val="Paraststmeklis"/>
              <w:spacing w:before="0" w:beforeAutospacing="0" w:after="0" w:afterAutospacing="0"/>
              <w:rPr>
                <w:lang w:val="en-GB"/>
              </w:rPr>
            </w:pPr>
            <w:r w:rsidRPr="007504E6">
              <w:rPr>
                <w:b w:val="0"/>
                <w:bCs w:val="0"/>
                <w:sz w:val="20"/>
                <w:szCs w:val="20"/>
                <w:lang w:val="en-GB"/>
              </w:rPr>
              <w:t>BUILDING MATERIALS COST factors influencing the relevance effect of the order</w:t>
            </w:r>
          </w:p>
          <w:p w14:paraId="1CA87D68" w14:textId="1B26991C" w:rsidR="002E0A53" w:rsidRPr="007504E6" w:rsidRDefault="002E0A53" w:rsidP="002E0A53">
            <w:pPr>
              <w:spacing w:line="240" w:lineRule="auto"/>
              <w:ind w:firstLine="0"/>
              <w:rPr>
                <w:rFonts w:ascii="Times New Roman" w:eastAsia="Times New Roman" w:hAnsi="Times New Roman" w:cs="Times New Roman"/>
                <w:b w:val="0"/>
                <w:bCs w:val="0"/>
                <w:color w:val="000000"/>
                <w:lang w:val="en-GB" w:eastAsia="lv-LV"/>
              </w:rPr>
            </w:pPr>
            <w:r w:rsidRPr="007504E6">
              <w:rPr>
                <w:szCs w:val="20"/>
                <w:lang w:val="en-GB"/>
              </w:rPr>
              <w:t> </w:t>
            </w:r>
          </w:p>
        </w:tc>
        <w:tc>
          <w:tcPr>
            <w:tcW w:w="1419" w:type="dxa"/>
            <w:noWrap/>
            <w:hideMark/>
          </w:tcPr>
          <w:p w14:paraId="06DFBDF3" w14:textId="68B54D8B" w:rsidR="002E0A53" w:rsidRPr="007504E6" w:rsidRDefault="002E0A53" w:rsidP="002E0A53">
            <w:pPr>
              <w:spacing w:line="240" w:lineRule="auto"/>
              <w:ind w:firstLine="0"/>
              <w:jc w:val="center"/>
              <w:rPr>
                <w:rFonts w:ascii="Times New Roman" w:eastAsia="Times New Roman" w:hAnsi="Times New Roman" w:cs="Times New Roman"/>
                <w:color w:val="000000"/>
                <w:lang w:val="en-GB" w:eastAsia="lv-LV"/>
              </w:rPr>
            </w:pPr>
            <w:r w:rsidRPr="007504E6">
              <w:rPr>
                <w:b w:val="0"/>
                <w:bCs w:val="0"/>
                <w:szCs w:val="20"/>
                <w:lang w:val="en-GB"/>
              </w:rPr>
              <w:t>Number of evaluations</w:t>
            </w:r>
          </w:p>
        </w:tc>
        <w:tc>
          <w:tcPr>
            <w:tcW w:w="1363" w:type="dxa"/>
            <w:noWrap/>
            <w:hideMark/>
          </w:tcPr>
          <w:p w14:paraId="5086CB79" w14:textId="7EC021D6" w:rsidR="002E0A53" w:rsidRPr="007504E6" w:rsidRDefault="002E0A53" w:rsidP="002E0A53">
            <w:pPr>
              <w:spacing w:line="240" w:lineRule="auto"/>
              <w:ind w:firstLine="0"/>
              <w:jc w:val="center"/>
              <w:rPr>
                <w:rFonts w:ascii="Times New Roman" w:eastAsia="Times New Roman" w:hAnsi="Times New Roman" w:cs="Times New Roman"/>
                <w:color w:val="000000"/>
                <w:lang w:val="en-GB" w:eastAsia="lv-LV"/>
              </w:rPr>
            </w:pPr>
            <w:r w:rsidRPr="007504E6">
              <w:rPr>
                <w:b w:val="0"/>
                <w:bCs w:val="0"/>
                <w:szCs w:val="20"/>
                <w:lang w:val="en-GB"/>
              </w:rPr>
              <w:t>Average rating</w:t>
            </w:r>
          </w:p>
        </w:tc>
      </w:tr>
      <w:tr w:rsidR="00F67AF5" w:rsidRPr="007504E6" w14:paraId="4D7028C9" w14:textId="77777777" w:rsidTr="001217BC">
        <w:trPr>
          <w:cnfStyle w:val="000000100000" w:firstRow="0" w:lastRow="0" w:firstColumn="0" w:lastColumn="0" w:oddVBand="0" w:evenVBand="0" w:oddHBand="1" w:evenHBand="0" w:firstRowFirstColumn="0" w:firstRowLastColumn="0" w:lastRowFirstColumn="0" w:lastRowLastColumn="0"/>
          <w:trHeight w:val="288"/>
        </w:trPr>
        <w:tc>
          <w:tcPr>
            <w:tcW w:w="789" w:type="dxa"/>
          </w:tcPr>
          <w:p w14:paraId="3EF7A25D" w14:textId="5D4D4525" w:rsidR="00F67AF5" w:rsidRPr="007504E6" w:rsidRDefault="00F67AF5" w:rsidP="00F67AF5">
            <w:pPr>
              <w:spacing w:line="240" w:lineRule="auto"/>
              <w:ind w:firstLine="0"/>
              <w:jc w:val="right"/>
              <w:rPr>
                <w:rFonts w:ascii="Times New Roman" w:eastAsia="Times New Roman" w:hAnsi="Times New Roman" w:cs="Times New Roman"/>
                <w:b/>
                <w:bCs/>
                <w:color w:val="000000"/>
                <w:lang w:val="en-GB" w:eastAsia="lv-LV"/>
              </w:rPr>
            </w:pPr>
            <w:r w:rsidRPr="007504E6">
              <w:rPr>
                <w:b/>
                <w:bCs/>
                <w:szCs w:val="20"/>
                <w:lang w:val="en-GB"/>
              </w:rPr>
              <w:t>1.</w:t>
            </w:r>
          </w:p>
        </w:tc>
        <w:tc>
          <w:tcPr>
            <w:tcW w:w="5451" w:type="dxa"/>
            <w:noWrap/>
            <w:hideMark/>
          </w:tcPr>
          <w:p w14:paraId="42B62685" w14:textId="78FDE4AC" w:rsidR="00F67AF5" w:rsidRPr="007504E6" w:rsidRDefault="00F67AF5" w:rsidP="00F67AF5">
            <w:pPr>
              <w:spacing w:line="240" w:lineRule="auto"/>
              <w:ind w:firstLine="0"/>
              <w:jc w:val="left"/>
              <w:rPr>
                <w:rFonts w:ascii="Times New Roman" w:eastAsia="Times New Roman" w:hAnsi="Times New Roman" w:cs="Times New Roman"/>
                <w:b/>
                <w:bCs/>
                <w:color w:val="000000"/>
                <w:lang w:val="en-GB" w:eastAsia="lv-LV"/>
              </w:rPr>
            </w:pPr>
            <w:r w:rsidRPr="007504E6">
              <w:rPr>
                <w:b/>
                <w:bCs/>
                <w:szCs w:val="20"/>
                <w:lang w:val="en-GB"/>
              </w:rPr>
              <w:t>Average annual price of metal products in Latvia</w:t>
            </w:r>
          </w:p>
        </w:tc>
        <w:tc>
          <w:tcPr>
            <w:tcW w:w="1419" w:type="dxa"/>
            <w:noWrap/>
            <w:hideMark/>
          </w:tcPr>
          <w:p w14:paraId="60F0A224" w14:textId="45616E4A" w:rsidR="00F67AF5" w:rsidRPr="007504E6" w:rsidRDefault="00F67AF5" w:rsidP="00F67AF5">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57</w:t>
            </w:r>
          </w:p>
        </w:tc>
        <w:tc>
          <w:tcPr>
            <w:tcW w:w="1363" w:type="dxa"/>
            <w:noWrap/>
            <w:hideMark/>
          </w:tcPr>
          <w:p w14:paraId="0A893984" w14:textId="7A107A4C" w:rsidR="00F67AF5" w:rsidRPr="007504E6" w:rsidRDefault="00F67AF5" w:rsidP="00F67AF5">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7.91</w:t>
            </w:r>
          </w:p>
        </w:tc>
      </w:tr>
      <w:tr w:rsidR="00F67AF5" w:rsidRPr="007504E6" w14:paraId="6D124ADD" w14:textId="77777777" w:rsidTr="001217BC">
        <w:trPr>
          <w:trHeight w:val="288"/>
        </w:trPr>
        <w:tc>
          <w:tcPr>
            <w:tcW w:w="789" w:type="dxa"/>
          </w:tcPr>
          <w:p w14:paraId="0ECF4206" w14:textId="19B5D323" w:rsidR="00F67AF5" w:rsidRPr="007504E6" w:rsidRDefault="00F67AF5" w:rsidP="00F67AF5">
            <w:pPr>
              <w:spacing w:line="240" w:lineRule="auto"/>
              <w:ind w:firstLine="0"/>
              <w:jc w:val="right"/>
              <w:rPr>
                <w:rFonts w:ascii="Times New Roman" w:eastAsia="Times New Roman" w:hAnsi="Times New Roman" w:cs="Times New Roman"/>
                <w:b/>
                <w:bCs/>
                <w:color w:val="000000"/>
                <w:lang w:val="en-GB" w:eastAsia="lv-LV"/>
              </w:rPr>
            </w:pPr>
            <w:r w:rsidRPr="007504E6">
              <w:rPr>
                <w:b/>
                <w:bCs/>
                <w:szCs w:val="20"/>
                <w:lang w:val="en-GB"/>
              </w:rPr>
              <w:t>2.</w:t>
            </w:r>
          </w:p>
        </w:tc>
        <w:tc>
          <w:tcPr>
            <w:tcW w:w="5451" w:type="dxa"/>
            <w:noWrap/>
            <w:hideMark/>
          </w:tcPr>
          <w:p w14:paraId="62D98AD2" w14:textId="74175E15" w:rsidR="00F67AF5" w:rsidRPr="007504E6" w:rsidRDefault="00F67AF5" w:rsidP="00F67AF5">
            <w:pPr>
              <w:spacing w:line="240" w:lineRule="auto"/>
              <w:ind w:firstLine="0"/>
              <w:jc w:val="left"/>
              <w:rPr>
                <w:rFonts w:ascii="Times New Roman" w:eastAsia="Times New Roman" w:hAnsi="Times New Roman" w:cs="Times New Roman"/>
                <w:b/>
                <w:bCs/>
                <w:color w:val="000000"/>
                <w:lang w:val="en-GB" w:eastAsia="lv-LV"/>
              </w:rPr>
            </w:pPr>
            <w:r w:rsidRPr="007504E6">
              <w:rPr>
                <w:b/>
                <w:bCs/>
                <w:szCs w:val="20"/>
                <w:lang w:val="en-GB"/>
              </w:rPr>
              <w:t>Volume of construction in Latvia</w:t>
            </w:r>
          </w:p>
        </w:tc>
        <w:tc>
          <w:tcPr>
            <w:tcW w:w="1419" w:type="dxa"/>
            <w:noWrap/>
            <w:hideMark/>
          </w:tcPr>
          <w:p w14:paraId="4EAF9865" w14:textId="5C5E521C" w:rsidR="00F67AF5" w:rsidRPr="007504E6" w:rsidRDefault="00F67AF5" w:rsidP="00F67AF5">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58</w:t>
            </w:r>
          </w:p>
        </w:tc>
        <w:tc>
          <w:tcPr>
            <w:tcW w:w="1363" w:type="dxa"/>
            <w:noWrap/>
            <w:hideMark/>
          </w:tcPr>
          <w:p w14:paraId="41762911" w14:textId="511A462E" w:rsidR="00F67AF5" w:rsidRPr="007504E6" w:rsidRDefault="00F67AF5" w:rsidP="00F67AF5">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7.24</w:t>
            </w:r>
          </w:p>
        </w:tc>
      </w:tr>
      <w:tr w:rsidR="00F67AF5" w:rsidRPr="007504E6" w14:paraId="3DB35A19" w14:textId="77777777" w:rsidTr="001217BC">
        <w:trPr>
          <w:cnfStyle w:val="000000100000" w:firstRow="0" w:lastRow="0" w:firstColumn="0" w:lastColumn="0" w:oddVBand="0" w:evenVBand="0" w:oddHBand="1" w:evenHBand="0" w:firstRowFirstColumn="0" w:firstRowLastColumn="0" w:lastRowFirstColumn="0" w:lastRowLastColumn="0"/>
          <w:trHeight w:val="288"/>
        </w:trPr>
        <w:tc>
          <w:tcPr>
            <w:tcW w:w="789" w:type="dxa"/>
          </w:tcPr>
          <w:p w14:paraId="583B4EF1" w14:textId="2E3DFE79" w:rsidR="00F67AF5" w:rsidRPr="007504E6" w:rsidRDefault="00F67AF5" w:rsidP="00F67AF5">
            <w:pPr>
              <w:spacing w:line="240" w:lineRule="auto"/>
              <w:ind w:firstLine="0"/>
              <w:jc w:val="right"/>
              <w:rPr>
                <w:rFonts w:ascii="Times New Roman" w:eastAsia="Times New Roman" w:hAnsi="Times New Roman" w:cs="Times New Roman"/>
                <w:b/>
                <w:bCs/>
                <w:color w:val="000000"/>
                <w:lang w:val="en-GB" w:eastAsia="lv-LV"/>
              </w:rPr>
            </w:pPr>
            <w:r w:rsidRPr="007504E6">
              <w:rPr>
                <w:b/>
                <w:bCs/>
                <w:szCs w:val="20"/>
                <w:lang w:val="en-GB"/>
              </w:rPr>
              <w:t>3.</w:t>
            </w:r>
          </w:p>
        </w:tc>
        <w:tc>
          <w:tcPr>
            <w:tcW w:w="5451" w:type="dxa"/>
            <w:noWrap/>
            <w:hideMark/>
          </w:tcPr>
          <w:p w14:paraId="71CEEA62" w14:textId="2020EBFA" w:rsidR="00F67AF5" w:rsidRPr="007504E6" w:rsidRDefault="00F67AF5" w:rsidP="00F67AF5">
            <w:pPr>
              <w:spacing w:line="240" w:lineRule="auto"/>
              <w:ind w:firstLine="0"/>
              <w:jc w:val="left"/>
              <w:rPr>
                <w:rFonts w:ascii="Times New Roman" w:eastAsia="Times New Roman" w:hAnsi="Times New Roman" w:cs="Times New Roman"/>
                <w:b/>
                <w:bCs/>
                <w:color w:val="000000"/>
                <w:lang w:val="en-GB" w:eastAsia="lv-LV"/>
              </w:rPr>
            </w:pPr>
            <w:r w:rsidRPr="007504E6">
              <w:rPr>
                <w:b/>
                <w:bCs/>
                <w:szCs w:val="20"/>
                <w:lang w:val="en-GB"/>
              </w:rPr>
              <w:t>The average annual timber price in Latvia</w:t>
            </w:r>
          </w:p>
        </w:tc>
        <w:tc>
          <w:tcPr>
            <w:tcW w:w="1419" w:type="dxa"/>
            <w:noWrap/>
            <w:hideMark/>
          </w:tcPr>
          <w:p w14:paraId="2A02933C" w14:textId="4FE140DC" w:rsidR="00F67AF5" w:rsidRPr="007504E6" w:rsidRDefault="00F67AF5" w:rsidP="00F67AF5">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58</w:t>
            </w:r>
          </w:p>
        </w:tc>
        <w:tc>
          <w:tcPr>
            <w:tcW w:w="1363" w:type="dxa"/>
            <w:noWrap/>
            <w:hideMark/>
          </w:tcPr>
          <w:p w14:paraId="3FD73259" w14:textId="0D9F641E" w:rsidR="00F67AF5" w:rsidRPr="007504E6" w:rsidRDefault="00F67AF5" w:rsidP="00F67AF5">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7.21</w:t>
            </w:r>
          </w:p>
        </w:tc>
      </w:tr>
      <w:tr w:rsidR="00F67AF5" w:rsidRPr="007504E6" w14:paraId="1DE7C941" w14:textId="77777777" w:rsidTr="001217BC">
        <w:trPr>
          <w:trHeight w:val="288"/>
        </w:trPr>
        <w:tc>
          <w:tcPr>
            <w:tcW w:w="789" w:type="dxa"/>
          </w:tcPr>
          <w:p w14:paraId="022E8193" w14:textId="7807EAD2" w:rsidR="00F67AF5" w:rsidRPr="007504E6" w:rsidRDefault="00F67AF5" w:rsidP="00F67AF5">
            <w:pPr>
              <w:spacing w:line="240" w:lineRule="auto"/>
              <w:ind w:firstLine="0"/>
              <w:jc w:val="right"/>
              <w:rPr>
                <w:rFonts w:ascii="Times New Roman" w:eastAsia="Times New Roman" w:hAnsi="Times New Roman" w:cs="Times New Roman"/>
                <w:color w:val="000000"/>
                <w:lang w:val="en-GB" w:eastAsia="lv-LV"/>
              </w:rPr>
            </w:pPr>
            <w:r w:rsidRPr="007504E6">
              <w:rPr>
                <w:szCs w:val="20"/>
                <w:lang w:val="en-GB"/>
              </w:rPr>
              <w:t>4.</w:t>
            </w:r>
          </w:p>
        </w:tc>
        <w:tc>
          <w:tcPr>
            <w:tcW w:w="5451" w:type="dxa"/>
            <w:noWrap/>
            <w:hideMark/>
          </w:tcPr>
          <w:p w14:paraId="24943BCA" w14:textId="3F46CE93" w:rsidR="00F67AF5" w:rsidRPr="007504E6" w:rsidRDefault="00F67AF5" w:rsidP="00F67AF5">
            <w:pPr>
              <w:spacing w:line="240" w:lineRule="auto"/>
              <w:ind w:firstLine="0"/>
              <w:jc w:val="left"/>
              <w:rPr>
                <w:rFonts w:ascii="Times New Roman" w:eastAsia="Times New Roman" w:hAnsi="Times New Roman" w:cs="Times New Roman"/>
                <w:color w:val="000000"/>
                <w:lang w:val="en-GB" w:eastAsia="lv-LV"/>
              </w:rPr>
            </w:pPr>
            <w:r w:rsidRPr="007504E6">
              <w:rPr>
                <w:szCs w:val="20"/>
                <w:lang w:val="en-GB"/>
              </w:rPr>
              <w:t>Total EU construction market demand</w:t>
            </w:r>
          </w:p>
        </w:tc>
        <w:tc>
          <w:tcPr>
            <w:tcW w:w="1419" w:type="dxa"/>
            <w:noWrap/>
            <w:hideMark/>
          </w:tcPr>
          <w:p w14:paraId="65C66B87" w14:textId="490C8BC2" w:rsidR="00F67AF5" w:rsidRPr="007504E6" w:rsidRDefault="00F67AF5" w:rsidP="00F67AF5">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58</w:t>
            </w:r>
          </w:p>
        </w:tc>
        <w:tc>
          <w:tcPr>
            <w:tcW w:w="1363" w:type="dxa"/>
            <w:noWrap/>
            <w:hideMark/>
          </w:tcPr>
          <w:p w14:paraId="08180E43" w14:textId="05386F93" w:rsidR="00F67AF5" w:rsidRPr="007504E6" w:rsidRDefault="00F67AF5" w:rsidP="00F67AF5">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7.07</w:t>
            </w:r>
          </w:p>
        </w:tc>
      </w:tr>
      <w:tr w:rsidR="00F67AF5" w:rsidRPr="007504E6" w14:paraId="24DAB44D" w14:textId="77777777" w:rsidTr="001217BC">
        <w:trPr>
          <w:cnfStyle w:val="000000100000" w:firstRow="0" w:lastRow="0" w:firstColumn="0" w:lastColumn="0" w:oddVBand="0" w:evenVBand="0" w:oddHBand="1" w:evenHBand="0" w:firstRowFirstColumn="0" w:firstRowLastColumn="0" w:lastRowFirstColumn="0" w:lastRowLastColumn="0"/>
          <w:trHeight w:val="288"/>
        </w:trPr>
        <w:tc>
          <w:tcPr>
            <w:tcW w:w="789" w:type="dxa"/>
          </w:tcPr>
          <w:p w14:paraId="66260712" w14:textId="33FA9EC7" w:rsidR="00F67AF5" w:rsidRPr="007504E6" w:rsidRDefault="00F67AF5" w:rsidP="00F67AF5">
            <w:pPr>
              <w:spacing w:line="240" w:lineRule="auto"/>
              <w:ind w:firstLine="0"/>
              <w:jc w:val="right"/>
              <w:rPr>
                <w:rFonts w:ascii="Times New Roman" w:eastAsia="Times New Roman" w:hAnsi="Times New Roman" w:cs="Times New Roman"/>
                <w:color w:val="000000"/>
                <w:lang w:val="en-GB" w:eastAsia="lv-LV"/>
              </w:rPr>
            </w:pPr>
            <w:r w:rsidRPr="007504E6">
              <w:rPr>
                <w:szCs w:val="20"/>
                <w:lang w:val="en-GB"/>
              </w:rPr>
              <w:t>5.</w:t>
            </w:r>
          </w:p>
        </w:tc>
        <w:tc>
          <w:tcPr>
            <w:tcW w:w="5451" w:type="dxa"/>
            <w:noWrap/>
            <w:hideMark/>
          </w:tcPr>
          <w:p w14:paraId="60207CD5" w14:textId="053EEE48" w:rsidR="00F67AF5" w:rsidRPr="007504E6" w:rsidRDefault="00F67AF5" w:rsidP="00F67AF5">
            <w:pPr>
              <w:spacing w:line="240" w:lineRule="auto"/>
              <w:ind w:firstLine="0"/>
              <w:jc w:val="left"/>
              <w:rPr>
                <w:rFonts w:ascii="Times New Roman" w:eastAsia="Times New Roman" w:hAnsi="Times New Roman" w:cs="Times New Roman"/>
                <w:color w:val="000000"/>
                <w:lang w:val="en-GB" w:eastAsia="lv-LV"/>
              </w:rPr>
            </w:pPr>
            <w:r w:rsidRPr="007504E6">
              <w:rPr>
                <w:szCs w:val="20"/>
                <w:lang w:val="en-GB"/>
              </w:rPr>
              <w:t>Volume of construction plans implemented with public funds</w:t>
            </w:r>
          </w:p>
        </w:tc>
        <w:tc>
          <w:tcPr>
            <w:tcW w:w="1419" w:type="dxa"/>
            <w:noWrap/>
            <w:hideMark/>
          </w:tcPr>
          <w:p w14:paraId="5961D663" w14:textId="142C8D1B" w:rsidR="00F67AF5" w:rsidRPr="007504E6" w:rsidRDefault="00F67AF5" w:rsidP="00F67AF5">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57</w:t>
            </w:r>
          </w:p>
        </w:tc>
        <w:tc>
          <w:tcPr>
            <w:tcW w:w="1363" w:type="dxa"/>
            <w:noWrap/>
            <w:hideMark/>
          </w:tcPr>
          <w:p w14:paraId="196A7A18" w14:textId="5C24A879" w:rsidR="00F67AF5" w:rsidRPr="007504E6" w:rsidRDefault="00F67AF5" w:rsidP="00F67AF5">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6.65</w:t>
            </w:r>
          </w:p>
        </w:tc>
      </w:tr>
      <w:tr w:rsidR="00F67AF5" w:rsidRPr="007504E6" w14:paraId="5F0DC15F" w14:textId="77777777" w:rsidTr="001217BC">
        <w:trPr>
          <w:trHeight w:val="288"/>
        </w:trPr>
        <w:tc>
          <w:tcPr>
            <w:tcW w:w="789" w:type="dxa"/>
          </w:tcPr>
          <w:p w14:paraId="40BA7CF3" w14:textId="510E08CE" w:rsidR="00F67AF5" w:rsidRPr="007504E6" w:rsidRDefault="00F67AF5" w:rsidP="00F67AF5">
            <w:pPr>
              <w:spacing w:line="240" w:lineRule="auto"/>
              <w:ind w:firstLine="0"/>
              <w:jc w:val="right"/>
              <w:rPr>
                <w:rFonts w:ascii="Times New Roman" w:eastAsia="Times New Roman" w:hAnsi="Times New Roman" w:cs="Times New Roman"/>
                <w:color w:val="000000"/>
                <w:lang w:val="en-GB" w:eastAsia="lv-LV"/>
              </w:rPr>
            </w:pPr>
            <w:r w:rsidRPr="007504E6">
              <w:rPr>
                <w:szCs w:val="20"/>
                <w:lang w:val="en-GB"/>
              </w:rPr>
              <w:t>6.</w:t>
            </w:r>
          </w:p>
        </w:tc>
        <w:tc>
          <w:tcPr>
            <w:tcW w:w="5451" w:type="dxa"/>
            <w:noWrap/>
            <w:hideMark/>
          </w:tcPr>
          <w:p w14:paraId="7543AFAF" w14:textId="6F983AC4" w:rsidR="00F67AF5" w:rsidRPr="007504E6" w:rsidRDefault="00F67AF5" w:rsidP="00F67AF5">
            <w:pPr>
              <w:spacing w:line="240" w:lineRule="auto"/>
              <w:ind w:firstLine="0"/>
              <w:jc w:val="left"/>
              <w:rPr>
                <w:rFonts w:ascii="Times New Roman" w:eastAsia="Times New Roman" w:hAnsi="Times New Roman" w:cs="Times New Roman"/>
                <w:color w:val="000000"/>
                <w:lang w:val="en-GB" w:eastAsia="lv-LV"/>
              </w:rPr>
            </w:pPr>
            <w:r w:rsidRPr="007504E6">
              <w:rPr>
                <w:szCs w:val="20"/>
                <w:lang w:val="en-GB"/>
              </w:rPr>
              <w:t>Indicators of competition concentration in the building materials market in Latvia</w:t>
            </w:r>
          </w:p>
        </w:tc>
        <w:tc>
          <w:tcPr>
            <w:tcW w:w="1419" w:type="dxa"/>
            <w:noWrap/>
            <w:hideMark/>
          </w:tcPr>
          <w:p w14:paraId="40B7B1E1" w14:textId="0A379D03" w:rsidR="00F67AF5" w:rsidRPr="007504E6" w:rsidRDefault="00F67AF5" w:rsidP="00F67AF5">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57</w:t>
            </w:r>
          </w:p>
        </w:tc>
        <w:tc>
          <w:tcPr>
            <w:tcW w:w="1363" w:type="dxa"/>
            <w:noWrap/>
            <w:hideMark/>
          </w:tcPr>
          <w:p w14:paraId="622FCE64" w14:textId="1C0C293C" w:rsidR="00F67AF5" w:rsidRPr="007504E6" w:rsidRDefault="00F67AF5" w:rsidP="00F67AF5">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6.47</w:t>
            </w:r>
          </w:p>
        </w:tc>
      </w:tr>
      <w:tr w:rsidR="00F67AF5" w:rsidRPr="007504E6" w14:paraId="3171403B" w14:textId="77777777" w:rsidTr="001217BC">
        <w:trPr>
          <w:cnfStyle w:val="000000100000" w:firstRow="0" w:lastRow="0" w:firstColumn="0" w:lastColumn="0" w:oddVBand="0" w:evenVBand="0" w:oddHBand="1" w:evenHBand="0" w:firstRowFirstColumn="0" w:firstRowLastColumn="0" w:lastRowFirstColumn="0" w:lastRowLastColumn="0"/>
          <w:trHeight w:val="288"/>
        </w:trPr>
        <w:tc>
          <w:tcPr>
            <w:tcW w:w="789" w:type="dxa"/>
          </w:tcPr>
          <w:p w14:paraId="517EEFA1" w14:textId="449F041B" w:rsidR="00F67AF5" w:rsidRPr="007504E6" w:rsidRDefault="00F67AF5" w:rsidP="00F67AF5">
            <w:pPr>
              <w:spacing w:line="240" w:lineRule="auto"/>
              <w:ind w:firstLine="0"/>
              <w:jc w:val="right"/>
              <w:rPr>
                <w:rFonts w:ascii="Times New Roman" w:eastAsia="Times New Roman" w:hAnsi="Times New Roman" w:cs="Times New Roman"/>
                <w:color w:val="000000"/>
                <w:lang w:val="en-GB" w:eastAsia="lv-LV"/>
              </w:rPr>
            </w:pPr>
            <w:r w:rsidRPr="007504E6">
              <w:rPr>
                <w:szCs w:val="20"/>
                <w:lang w:val="en-GB"/>
              </w:rPr>
              <w:t>7.</w:t>
            </w:r>
          </w:p>
        </w:tc>
        <w:tc>
          <w:tcPr>
            <w:tcW w:w="5451" w:type="dxa"/>
            <w:noWrap/>
            <w:hideMark/>
          </w:tcPr>
          <w:p w14:paraId="2DC03AB2" w14:textId="34B62B3F" w:rsidR="00F67AF5" w:rsidRPr="007504E6" w:rsidRDefault="00F67AF5" w:rsidP="00F67AF5">
            <w:pPr>
              <w:spacing w:line="240" w:lineRule="auto"/>
              <w:ind w:firstLine="0"/>
              <w:jc w:val="left"/>
              <w:rPr>
                <w:rFonts w:ascii="Times New Roman" w:eastAsia="Times New Roman" w:hAnsi="Times New Roman" w:cs="Times New Roman"/>
                <w:color w:val="000000"/>
                <w:lang w:val="en-GB" w:eastAsia="lv-LV"/>
              </w:rPr>
            </w:pPr>
            <w:r w:rsidRPr="007504E6">
              <w:rPr>
                <w:szCs w:val="20"/>
                <w:lang w:val="en-GB"/>
              </w:rPr>
              <w:t>Number of construction plans in Latvia</w:t>
            </w:r>
          </w:p>
        </w:tc>
        <w:tc>
          <w:tcPr>
            <w:tcW w:w="1419" w:type="dxa"/>
            <w:noWrap/>
            <w:hideMark/>
          </w:tcPr>
          <w:p w14:paraId="429888B2" w14:textId="34555527" w:rsidR="00F67AF5" w:rsidRPr="007504E6" w:rsidRDefault="00F67AF5" w:rsidP="00F67AF5">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58</w:t>
            </w:r>
          </w:p>
        </w:tc>
        <w:tc>
          <w:tcPr>
            <w:tcW w:w="1363" w:type="dxa"/>
            <w:noWrap/>
            <w:hideMark/>
          </w:tcPr>
          <w:p w14:paraId="70C0D9D2" w14:textId="37133BC6" w:rsidR="00F67AF5" w:rsidRPr="007504E6" w:rsidRDefault="00F67AF5" w:rsidP="00F67AF5">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6.29</w:t>
            </w:r>
          </w:p>
        </w:tc>
      </w:tr>
      <w:tr w:rsidR="00F67AF5" w:rsidRPr="007504E6" w14:paraId="4425FCA9" w14:textId="77777777" w:rsidTr="001217BC">
        <w:trPr>
          <w:trHeight w:val="288"/>
        </w:trPr>
        <w:tc>
          <w:tcPr>
            <w:tcW w:w="789" w:type="dxa"/>
          </w:tcPr>
          <w:p w14:paraId="784546BF" w14:textId="3C8D7790" w:rsidR="00F67AF5" w:rsidRPr="007504E6" w:rsidRDefault="00F67AF5" w:rsidP="00F67AF5">
            <w:pPr>
              <w:spacing w:line="240" w:lineRule="auto"/>
              <w:ind w:firstLine="0"/>
              <w:jc w:val="right"/>
              <w:rPr>
                <w:rFonts w:ascii="Times New Roman" w:eastAsia="Times New Roman" w:hAnsi="Times New Roman" w:cs="Times New Roman"/>
                <w:color w:val="000000"/>
                <w:lang w:val="en-GB" w:eastAsia="lv-LV"/>
              </w:rPr>
            </w:pPr>
            <w:r w:rsidRPr="007504E6">
              <w:rPr>
                <w:szCs w:val="20"/>
                <w:lang w:val="en-GB"/>
              </w:rPr>
              <w:t>8.</w:t>
            </w:r>
          </w:p>
        </w:tc>
        <w:tc>
          <w:tcPr>
            <w:tcW w:w="5451" w:type="dxa"/>
            <w:noWrap/>
            <w:hideMark/>
          </w:tcPr>
          <w:p w14:paraId="60B9E37C" w14:textId="550D2EE9" w:rsidR="00F67AF5" w:rsidRPr="007504E6" w:rsidRDefault="00F67AF5" w:rsidP="00F67AF5">
            <w:pPr>
              <w:spacing w:line="240" w:lineRule="auto"/>
              <w:ind w:firstLine="0"/>
              <w:jc w:val="left"/>
              <w:rPr>
                <w:rFonts w:ascii="Times New Roman" w:eastAsia="Times New Roman" w:hAnsi="Times New Roman" w:cs="Times New Roman"/>
                <w:color w:val="000000"/>
                <w:lang w:val="en-GB" w:eastAsia="lv-LV"/>
              </w:rPr>
            </w:pPr>
            <w:r w:rsidRPr="007504E6">
              <w:rPr>
                <w:szCs w:val="20"/>
                <w:lang w:val="en-GB"/>
              </w:rPr>
              <w:t>EU economic growth rates</w:t>
            </w:r>
          </w:p>
        </w:tc>
        <w:tc>
          <w:tcPr>
            <w:tcW w:w="1419" w:type="dxa"/>
            <w:noWrap/>
            <w:hideMark/>
          </w:tcPr>
          <w:p w14:paraId="5658F3E5" w14:textId="6A7E4F13" w:rsidR="00F67AF5" w:rsidRPr="007504E6" w:rsidRDefault="00F67AF5" w:rsidP="00F67AF5">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57</w:t>
            </w:r>
          </w:p>
        </w:tc>
        <w:tc>
          <w:tcPr>
            <w:tcW w:w="1363" w:type="dxa"/>
            <w:noWrap/>
            <w:hideMark/>
          </w:tcPr>
          <w:p w14:paraId="2D918EF4" w14:textId="15126151" w:rsidR="00F67AF5" w:rsidRPr="007504E6" w:rsidRDefault="00F67AF5" w:rsidP="00F67AF5">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6.28</w:t>
            </w:r>
          </w:p>
        </w:tc>
      </w:tr>
      <w:tr w:rsidR="00F67AF5" w:rsidRPr="007504E6" w14:paraId="106156B0" w14:textId="77777777" w:rsidTr="001217BC">
        <w:trPr>
          <w:cnfStyle w:val="000000100000" w:firstRow="0" w:lastRow="0" w:firstColumn="0" w:lastColumn="0" w:oddVBand="0" w:evenVBand="0" w:oddHBand="1" w:evenHBand="0" w:firstRowFirstColumn="0" w:firstRowLastColumn="0" w:lastRowFirstColumn="0" w:lastRowLastColumn="0"/>
          <w:trHeight w:val="288"/>
        </w:trPr>
        <w:tc>
          <w:tcPr>
            <w:tcW w:w="789" w:type="dxa"/>
          </w:tcPr>
          <w:p w14:paraId="71AC65AB" w14:textId="1F7191AE" w:rsidR="00F67AF5" w:rsidRPr="007504E6" w:rsidRDefault="00F67AF5" w:rsidP="00F67AF5">
            <w:pPr>
              <w:spacing w:line="240" w:lineRule="auto"/>
              <w:ind w:firstLine="0"/>
              <w:jc w:val="right"/>
              <w:rPr>
                <w:rFonts w:ascii="Times New Roman" w:eastAsia="Times New Roman" w:hAnsi="Times New Roman" w:cs="Times New Roman"/>
                <w:color w:val="000000"/>
                <w:lang w:val="en-GB" w:eastAsia="lv-LV"/>
              </w:rPr>
            </w:pPr>
            <w:r w:rsidRPr="007504E6">
              <w:rPr>
                <w:szCs w:val="20"/>
                <w:lang w:val="en-GB"/>
              </w:rPr>
              <w:t>9.</w:t>
            </w:r>
          </w:p>
        </w:tc>
        <w:tc>
          <w:tcPr>
            <w:tcW w:w="5451" w:type="dxa"/>
            <w:noWrap/>
            <w:hideMark/>
          </w:tcPr>
          <w:p w14:paraId="005AA6F5" w14:textId="704EFED0" w:rsidR="00F67AF5" w:rsidRPr="007504E6" w:rsidRDefault="00F67AF5" w:rsidP="00F67AF5">
            <w:pPr>
              <w:spacing w:line="240" w:lineRule="auto"/>
              <w:ind w:firstLine="0"/>
              <w:jc w:val="left"/>
              <w:rPr>
                <w:rFonts w:ascii="Times New Roman" w:eastAsia="Times New Roman" w:hAnsi="Times New Roman" w:cs="Times New Roman"/>
                <w:color w:val="000000"/>
                <w:lang w:val="en-GB" w:eastAsia="lv-LV"/>
              </w:rPr>
            </w:pPr>
            <w:r w:rsidRPr="007504E6">
              <w:rPr>
                <w:szCs w:val="20"/>
                <w:lang w:val="en-GB"/>
              </w:rPr>
              <w:t>Volumes of real estate lending in Latvia</w:t>
            </w:r>
          </w:p>
        </w:tc>
        <w:tc>
          <w:tcPr>
            <w:tcW w:w="1419" w:type="dxa"/>
            <w:noWrap/>
            <w:hideMark/>
          </w:tcPr>
          <w:p w14:paraId="30C3A407" w14:textId="0AF7F462" w:rsidR="00F67AF5" w:rsidRPr="007504E6" w:rsidRDefault="00F67AF5" w:rsidP="00F67AF5">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56</w:t>
            </w:r>
          </w:p>
        </w:tc>
        <w:tc>
          <w:tcPr>
            <w:tcW w:w="1363" w:type="dxa"/>
            <w:noWrap/>
            <w:hideMark/>
          </w:tcPr>
          <w:p w14:paraId="5C785BA9" w14:textId="3DCC2D53" w:rsidR="00F67AF5" w:rsidRPr="007504E6" w:rsidRDefault="00F67AF5" w:rsidP="00F67AF5">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6.05</w:t>
            </w:r>
          </w:p>
        </w:tc>
      </w:tr>
      <w:tr w:rsidR="00F67AF5" w:rsidRPr="007504E6" w14:paraId="083BA471" w14:textId="77777777" w:rsidTr="001217BC">
        <w:trPr>
          <w:trHeight w:val="288"/>
        </w:trPr>
        <w:tc>
          <w:tcPr>
            <w:tcW w:w="789" w:type="dxa"/>
          </w:tcPr>
          <w:p w14:paraId="157A52BA" w14:textId="08E365E8" w:rsidR="00F67AF5" w:rsidRPr="007504E6" w:rsidRDefault="00F67AF5" w:rsidP="00F67AF5">
            <w:pPr>
              <w:spacing w:line="240" w:lineRule="auto"/>
              <w:ind w:firstLine="0"/>
              <w:jc w:val="right"/>
              <w:rPr>
                <w:rFonts w:ascii="Times New Roman" w:eastAsia="Times New Roman" w:hAnsi="Times New Roman" w:cs="Times New Roman"/>
                <w:color w:val="000000"/>
                <w:lang w:val="en-GB" w:eastAsia="lv-LV"/>
              </w:rPr>
            </w:pPr>
            <w:r w:rsidRPr="007504E6">
              <w:rPr>
                <w:szCs w:val="20"/>
                <w:lang w:val="en-GB"/>
              </w:rPr>
              <w:t>10.</w:t>
            </w:r>
          </w:p>
        </w:tc>
        <w:tc>
          <w:tcPr>
            <w:tcW w:w="5451" w:type="dxa"/>
            <w:noWrap/>
            <w:hideMark/>
          </w:tcPr>
          <w:p w14:paraId="01474DD2" w14:textId="3FABBAF3" w:rsidR="00F67AF5" w:rsidRPr="007504E6" w:rsidRDefault="00F67AF5" w:rsidP="00F67AF5">
            <w:pPr>
              <w:spacing w:line="240" w:lineRule="auto"/>
              <w:ind w:firstLine="0"/>
              <w:jc w:val="left"/>
              <w:rPr>
                <w:rFonts w:ascii="Times New Roman" w:eastAsia="Times New Roman" w:hAnsi="Times New Roman" w:cs="Times New Roman"/>
                <w:color w:val="000000"/>
                <w:lang w:val="en-GB" w:eastAsia="lv-LV"/>
              </w:rPr>
            </w:pPr>
            <w:r w:rsidRPr="007504E6">
              <w:rPr>
                <w:szCs w:val="20"/>
                <w:lang w:val="en-GB"/>
              </w:rPr>
              <w:t>Implementation of sustainability principles in construction (energy efficiency, eco-construction, etc.)</w:t>
            </w:r>
          </w:p>
        </w:tc>
        <w:tc>
          <w:tcPr>
            <w:tcW w:w="1419" w:type="dxa"/>
            <w:noWrap/>
            <w:hideMark/>
          </w:tcPr>
          <w:p w14:paraId="27812764" w14:textId="567E425B" w:rsidR="00F67AF5" w:rsidRPr="007504E6" w:rsidRDefault="00F67AF5" w:rsidP="00F67AF5">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57</w:t>
            </w:r>
          </w:p>
        </w:tc>
        <w:tc>
          <w:tcPr>
            <w:tcW w:w="1363" w:type="dxa"/>
            <w:noWrap/>
            <w:hideMark/>
          </w:tcPr>
          <w:p w14:paraId="20D0E05A" w14:textId="4281EB2A" w:rsidR="00F67AF5" w:rsidRPr="007504E6" w:rsidRDefault="00F67AF5" w:rsidP="00F67AF5">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6.04</w:t>
            </w:r>
          </w:p>
        </w:tc>
      </w:tr>
      <w:tr w:rsidR="00F67AF5" w:rsidRPr="007504E6" w14:paraId="0C6BB7DF" w14:textId="77777777" w:rsidTr="001217BC">
        <w:trPr>
          <w:cnfStyle w:val="000000100000" w:firstRow="0" w:lastRow="0" w:firstColumn="0" w:lastColumn="0" w:oddVBand="0" w:evenVBand="0" w:oddHBand="1" w:evenHBand="0" w:firstRowFirstColumn="0" w:firstRowLastColumn="0" w:lastRowFirstColumn="0" w:lastRowLastColumn="0"/>
          <w:trHeight w:val="288"/>
        </w:trPr>
        <w:tc>
          <w:tcPr>
            <w:tcW w:w="789" w:type="dxa"/>
          </w:tcPr>
          <w:p w14:paraId="5AE447FE" w14:textId="3E293A18" w:rsidR="00F67AF5" w:rsidRPr="007504E6" w:rsidRDefault="00F67AF5" w:rsidP="00F67AF5">
            <w:pPr>
              <w:spacing w:line="240" w:lineRule="auto"/>
              <w:ind w:firstLine="0"/>
              <w:jc w:val="right"/>
              <w:rPr>
                <w:rFonts w:ascii="Times New Roman" w:eastAsia="Times New Roman" w:hAnsi="Times New Roman" w:cs="Times New Roman"/>
                <w:color w:val="000000"/>
                <w:lang w:val="en-GB" w:eastAsia="lv-LV"/>
              </w:rPr>
            </w:pPr>
            <w:r w:rsidRPr="007504E6">
              <w:rPr>
                <w:szCs w:val="20"/>
                <w:lang w:val="en-GB"/>
              </w:rPr>
              <w:t>11.</w:t>
            </w:r>
          </w:p>
        </w:tc>
        <w:tc>
          <w:tcPr>
            <w:tcW w:w="5451" w:type="dxa"/>
            <w:noWrap/>
            <w:hideMark/>
          </w:tcPr>
          <w:p w14:paraId="732046AC" w14:textId="6391A6A1" w:rsidR="00F67AF5" w:rsidRPr="007504E6" w:rsidRDefault="00F67AF5" w:rsidP="00F67AF5">
            <w:pPr>
              <w:spacing w:line="240" w:lineRule="auto"/>
              <w:ind w:firstLine="0"/>
              <w:jc w:val="left"/>
              <w:rPr>
                <w:rFonts w:ascii="Times New Roman" w:eastAsia="Times New Roman" w:hAnsi="Times New Roman" w:cs="Times New Roman"/>
                <w:color w:val="000000"/>
                <w:lang w:val="en-GB" w:eastAsia="lv-LV"/>
              </w:rPr>
            </w:pPr>
            <w:r w:rsidRPr="007504E6">
              <w:rPr>
                <w:szCs w:val="20"/>
                <w:lang w:val="en-GB"/>
              </w:rPr>
              <w:t>The average fuel price in Latvia</w:t>
            </w:r>
          </w:p>
        </w:tc>
        <w:tc>
          <w:tcPr>
            <w:tcW w:w="1419" w:type="dxa"/>
            <w:noWrap/>
            <w:hideMark/>
          </w:tcPr>
          <w:p w14:paraId="38441ED9" w14:textId="08087C97" w:rsidR="00F67AF5" w:rsidRPr="007504E6" w:rsidRDefault="00F67AF5" w:rsidP="00F67AF5">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57</w:t>
            </w:r>
          </w:p>
        </w:tc>
        <w:tc>
          <w:tcPr>
            <w:tcW w:w="1363" w:type="dxa"/>
            <w:noWrap/>
            <w:hideMark/>
          </w:tcPr>
          <w:p w14:paraId="28602B59" w14:textId="4C574625" w:rsidR="00F67AF5" w:rsidRPr="007504E6" w:rsidRDefault="00F67AF5" w:rsidP="00F67AF5">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6.02</w:t>
            </w:r>
          </w:p>
        </w:tc>
      </w:tr>
      <w:tr w:rsidR="00F67AF5" w:rsidRPr="007504E6" w14:paraId="32CD81DD" w14:textId="77777777" w:rsidTr="001217BC">
        <w:trPr>
          <w:trHeight w:val="288"/>
        </w:trPr>
        <w:tc>
          <w:tcPr>
            <w:tcW w:w="789" w:type="dxa"/>
          </w:tcPr>
          <w:p w14:paraId="6B239D7F" w14:textId="4500E271" w:rsidR="00F67AF5" w:rsidRPr="007504E6" w:rsidRDefault="00F67AF5" w:rsidP="00F67AF5">
            <w:pPr>
              <w:spacing w:line="240" w:lineRule="auto"/>
              <w:ind w:firstLine="0"/>
              <w:jc w:val="right"/>
              <w:rPr>
                <w:rFonts w:ascii="Times New Roman" w:eastAsia="Times New Roman" w:hAnsi="Times New Roman" w:cs="Times New Roman"/>
                <w:color w:val="000000"/>
                <w:lang w:val="en-GB" w:eastAsia="lv-LV"/>
              </w:rPr>
            </w:pPr>
            <w:r w:rsidRPr="007504E6">
              <w:rPr>
                <w:szCs w:val="20"/>
                <w:lang w:val="en-GB"/>
              </w:rPr>
              <w:t>12.</w:t>
            </w:r>
          </w:p>
        </w:tc>
        <w:tc>
          <w:tcPr>
            <w:tcW w:w="5451" w:type="dxa"/>
            <w:noWrap/>
            <w:hideMark/>
          </w:tcPr>
          <w:p w14:paraId="1B79A4E1" w14:textId="51508C9D" w:rsidR="00F67AF5" w:rsidRPr="007504E6" w:rsidRDefault="00F67AF5" w:rsidP="00F67AF5">
            <w:pPr>
              <w:spacing w:line="240" w:lineRule="auto"/>
              <w:ind w:firstLine="0"/>
              <w:jc w:val="left"/>
              <w:rPr>
                <w:rFonts w:ascii="Times New Roman" w:eastAsia="Times New Roman" w:hAnsi="Times New Roman" w:cs="Times New Roman"/>
                <w:color w:val="000000"/>
                <w:lang w:val="en-GB" w:eastAsia="lv-LV"/>
              </w:rPr>
            </w:pPr>
            <w:r w:rsidRPr="007504E6">
              <w:rPr>
                <w:szCs w:val="20"/>
                <w:lang w:val="en-GB"/>
              </w:rPr>
              <w:t>Technical requirements for the quality of construction of EU buildings</w:t>
            </w:r>
          </w:p>
        </w:tc>
        <w:tc>
          <w:tcPr>
            <w:tcW w:w="1419" w:type="dxa"/>
            <w:noWrap/>
            <w:hideMark/>
          </w:tcPr>
          <w:p w14:paraId="24B70E6D" w14:textId="234D3762" w:rsidR="00F67AF5" w:rsidRPr="007504E6" w:rsidRDefault="00F67AF5" w:rsidP="00F67AF5">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57</w:t>
            </w:r>
          </w:p>
        </w:tc>
        <w:tc>
          <w:tcPr>
            <w:tcW w:w="1363" w:type="dxa"/>
            <w:noWrap/>
            <w:hideMark/>
          </w:tcPr>
          <w:p w14:paraId="1DB13867" w14:textId="48D5C115" w:rsidR="00F67AF5" w:rsidRPr="007504E6" w:rsidRDefault="00F67AF5" w:rsidP="00F67AF5">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6.00</w:t>
            </w:r>
          </w:p>
        </w:tc>
      </w:tr>
      <w:tr w:rsidR="00F67AF5" w:rsidRPr="007504E6" w14:paraId="761603F8" w14:textId="77777777" w:rsidTr="001217BC">
        <w:trPr>
          <w:cnfStyle w:val="000000100000" w:firstRow="0" w:lastRow="0" w:firstColumn="0" w:lastColumn="0" w:oddVBand="0" w:evenVBand="0" w:oddHBand="1" w:evenHBand="0" w:firstRowFirstColumn="0" w:firstRowLastColumn="0" w:lastRowFirstColumn="0" w:lastRowLastColumn="0"/>
          <w:trHeight w:val="288"/>
        </w:trPr>
        <w:tc>
          <w:tcPr>
            <w:tcW w:w="789" w:type="dxa"/>
          </w:tcPr>
          <w:p w14:paraId="4181B9AA" w14:textId="4D25A442" w:rsidR="00F67AF5" w:rsidRPr="007504E6" w:rsidRDefault="00F67AF5" w:rsidP="00F67AF5">
            <w:pPr>
              <w:spacing w:line="240" w:lineRule="auto"/>
              <w:ind w:firstLine="0"/>
              <w:jc w:val="right"/>
              <w:rPr>
                <w:rFonts w:ascii="Times New Roman" w:eastAsia="Times New Roman" w:hAnsi="Times New Roman" w:cs="Times New Roman"/>
                <w:color w:val="000000"/>
                <w:lang w:val="en-GB" w:eastAsia="lv-LV"/>
              </w:rPr>
            </w:pPr>
            <w:r w:rsidRPr="007504E6">
              <w:rPr>
                <w:szCs w:val="20"/>
                <w:lang w:val="en-GB"/>
              </w:rPr>
              <w:t>13.</w:t>
            </w:r>
          </w:p>
        </w:tc>
        <w:tc>
          <w:tcPr>
            <w:tcW w:w="5451" w:type="dxa"/>
            <w:noWrap/>
            <w:hideMark/>
          </w:tcPr>
          <w:p w14:paraId="10FBC8D7" w14:textId="0BCDE8B6" w:rsidR="00F67AF5" w:rsidRPr="007504E6" w:rsidRDefault="00F67AF5" w:rsidP="00F67AF5">
            <w:pPr>
              <w:spacing w:line="240" w:lineRule="auto"/>
              <w:ind w:firstLine="0"/>
              <w:jc w:val="left"/>
              <w:rPr>
                <w:rFonts w:ascii="Times New Roman" w:eastAsia="Times New Roman" w:hAnsi="Times New Roman" w:cs="Times New Roman"/>
                <w:color w:val="000000"/>
                <w:lang w:val="en-GB" w:eastAsia="lv-LV"/>
              </w:rPr>
            </w:pPr>
            <w:r w:rsidRPr="007504E6">
              <w:rPr>
                <w:szCs w:val="20"/>
                <w:lang w:val="en-GB"/>
              </w:rPr>
              <w:t>Average annual energy price in Latvia</w:t>
            </w:r>
          </w:p>
        </w:tc>
        <w:tc>
          <w:tcPr>
            <w:tcW w:w="1419" w:type="dxa"/>
            <w:noWrap/>
            <w:hideMark/>
          </w:tcPr>
          <w:p w14:paraId="26549382" w14:textId="4B13390D" w:rsidR="00F67AF5" w:rsidRPr="007504E6" w:rsidRDefault="00F67AF5" w:rsidP="00F67AF5">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57</w:t>
            </w:r>
          </w:p>
        </w:tc>
        <w:tc>
          <w:tcPr>
            <w:tcW w:w="1363" w:type="dxa"/>
            <w:noWrap/>
            <w:hideMark/>
          </w:tcPr>
          <w:p w14:paraId="15ABACEF" w14:textId="4C2B00A8" w:rsidR="00F67AF5" w:rsidRPr="007504E6" w:rsidRDefault="00F67AF5" w:rsidP="00F67AF5">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5.74</w:t>
            </w:r>
          </w:p>
        </w:tc>
      </w:tr>
      <w:tr w:rsidR="00F67AF5" w:rsidRPr="007504E6" w14:paraId="7D992B87" w14:textId="77777777" w:rsidTr="001217BC">
        <w:trPr>
          <w:trHeight w:val="288"/>
        </w:trPr>
        <w:tc>
          <w:tcPr>
            <w:tcW w:w="789" w:type="dxa"/>
          </w:tcPr>
          <w:p w14:paraId="61E59D5E" w14:textId="29F5E710" w:rsidR="00F67AF5" w:rsidRPr="007504E6" w:rsidRDefault="00F67AF5" w:rsidP="00F67AF5">
            <w:pPr>
              <w:spacing w:line="240" w:lineRule="auto"/>
              <w:ind w:firstLine="0"/>
              <w:jc w:val="right"/>
              <w:rPr>
                <w:rFonts w:ascii="Times New Roman" w:eastAsia="Times New Roman" w:hAnsi="Times New Roman" w:cs="Times New Roman"/>
                <w:color w:val="000000"/>
                <w:lang w:val="en-GB" w:eastAsia="lv-LV"/>
              </w:rPr>
            </w:pPr>
            <w:r w:rsidRPr="007504E6">
              <w:rPr>
                <w:szCs w:val="20"/>
                <w:lang w:val="en-GB"/>
              </w:rPr>
              <w:t>14.</w:t>
            </w:r>
          </w:p>
        </w:tc>
        <w:tc>
          <w:tcPr>
            <w:tcW w:w="5451" w:type="dxa"/>
            <w:noWrap/>
            <w:hideMark/>
          </w:tcPr>
          <w:p w14:paraId="45A3354F" w14:textId="098A5BA3" w:rsidR="00F67AF5" w:rsidRPr="007504E6" w:rsidRDefault="00F67AF5" w:rsidP="00F67AF5">
            <w:pPr>
              <w:spacing w:line="240" w:lineRule="auto"/>
              <w:ind w:firstLine="0"/>
              <w:jc w:val="left"/>
              <w:rPr>
                <w:rFonts w:ascii="Times New Roman" w:eastAsia="Times New Roman" w:hAnsi="Times New Roman" w:cs="Times New Roman"/>
                <w:color w:val="000000"/>
                <w:lang w:val="en-GB" w:eastAsia="lv-LV"/>
              </w:rPr>
            </w:pPr>
            <w:r w:rsidRPr="007504E6">
              <w:rPr>
                <w:szCs w:val="20"/>
                <w:lang w:val="en-GB"/>
              </w:rPr>
              <w:t>Extent of epidemiological safety measures</w:t>
            </w:r>
          </w:p>
        </w:tc>
        <w:tc>
          <w:tcPr>
            <w:tcW w:w="1419" w:type="dxa"/>
            <w:noWrap/>
            <w:hideMark/>
          </w:tcPr>
          <w:p w14:paraId="2140E70D" w14:textId="029066D7" w:rsidR="00F67AF5" w:rsidRPr="007504E6" w:rsidRDefault="00F67AF5" w:rsidP="00F67AF5">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58</w:t>
            </w:r>
          </w:p>
        </w:tc>
        <w:tc>
          <w:tcPr>
            <w:tcW w:w="1363" w:type="dxa"/>
            <w:noWrap/>
            <w:hideMark/>
          </w:tcPr>
          <w:p w14:paraId="51EC9EE9" w14:textId="5B6F788C" w:rsidR="00F67AF5" w:rsidRPr="007504E6" w:rsidRDefault="00F67AF5" w:rsidP="00F67AF5">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5.64</w:t>
            </w:r>
          </w:p>
        </w:tc>
      </w:tr>
      <w:tr w:rsidR="00F67AF5" w:rsidRPr="007504E6" w14:paraId="54C688F8" w14:textId="77777777" w:rsidTr="001217BC">
        <w:trPr>
          <w:cnfStyle w:val="000000100000" w:firstRow="0" w:lastRow="0" w:firstColumn="0" w:lastColumn="0" w:oddVBand="0" w:evenVBand="0" w:oddHBand="1" w:evenHBand="0" w:firstRowFirstColumn="0" w:firstRowLastColumn="0" w:lastRowFirstColumn="0" w:lastRowLastColumn="0"/>
          <w:trHeight w:val="288"/>
        </w:trPr>
        <w:tc>
          <w:tcPr>
            <w:tcW w:w="789" w:type="dxa"/>
          </w:tcPr>
          <w:p w14:paraId="7AB4DBE9" w14:textId="1BBBCD0B" w:rsidR="00F67AF5" w:rsidRPr="007504E6" w:rsidRDefault="00F67AF5" w:rsidP="00F67AF5">
            <w:pPr>
              <w:spacing w:line="240" w:lineRule="auto"/>
              <w:ind w:firstLine="0"/>
              <w:jc w:val="right"/>
              <w:rPr>
                <w:rFonts w:ascii="Times New Roman" w:eastAsia="Times New Roman" w:hAnsi="Times New Roman" w:cs="Times New Roman"/>
                <w:color w:val="000000"/>
                <w:lang w:val="en-GB" w:eastAsia="lv-LV"/>
              </w:rPr>
            </w:pPr>
            <w:r w:rsidRPr="007504E6">
              <w:rPr>
                <w:szCs w:val="20"/>
                <w:lang w:val="en-GB"/>
              </w:rPr>
              <w:t>15.</w:t>
            </w:r>
          </w:p>
        </w:tc>
        <w:tc>
          <w:tcPr>
            <w:tcW w:w="5451" w:type="dxa"/>
            <w:noWrap/>
            <w:hideMark/>
          </w:tcPr>
          <w:p w14:paraId="7827E6E8" w14:textId="7423D1EA" w:rsidR="00F67AF5" w:rsidRPr="007504E6" w:rsidRDefault="00F67AF5" w:rsidP="00F67AF5">
            <w:pPr>
              <w:spacing w:line="240" w:lineRule="auto"/>
              <w:ind w:firstLine="0"/>
              <w:jc w:val="left"/>
              <w:rPr>
                <w:rFonts w:ascii="Times New Roman" w:eastAsia="Times New Roman" w:hAnsi="Times New Roman" w:cs="Times New Roman"/>
                <w:color w:val="000000"/>
                <w:lang w:val="en-GB" w:eastAsia="lv-LV"/>
              </w:rPr>
            </w:pPr>
            <w:r w:rsidRPr="007504E6">
              <w:rPr>
                <w:szCs w:val="20"/>
                <w:lang w:val="en-GB"/>
              </w:rPr>
              <w:t>Changes in gross domestic product in Latvia</w:t>
            </w:r>
          </w:p>
        </w:tc>
        <w:tc>
          <w:tcPr>
            <w:tcW w:w="1419" w:type="dxa"/>
            <w:noWrap/>
            <w:hideMark/>
          </w:tcPr>
          <w:p w14:paraId="2DD23EB4" w14:textId="2CA5C493" w:rsidR="00F67AF5" w:rsidRPr="007504E6" w:rsidRDefault="00F67AF5" w:rsidP="00F67AF5">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56</w:t>
            </w:r>
          </w:p>
        </w:tc>
        <w:tc>
          <w:tcPr>
            <w:tcW w:w="1363" w:type="dxa"/>
            <w:noWrap/>
            <w:hideMark/>
          </w:tcPr>
          <w:p w14:paraId="75BC52EF" w14:textId="4EC96B4B" w:rsidR="00F67AF5" w:rsidRPr="007504E6" w:rsidRDefault="00F67AF5" w:rsidP="00F67AF5">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5.27</w:t>
            </w:r>
          </w:p>
        </w:tc>
      </w:tr>
      <w:tr w:rsidR="00F67AF5" w:rsidRPr="007504E6" w14:paraId="146690E5" w14:textId="77777777" w:rsidTr="001217BC">
        <w:trPr>
          <w:trHeight w:val="288"/>
        </w:trPr>
        <w:tc>
          <w:tcPr>
            <w:tcW w:w="789" w:type="dxa"/>
          </w:tcPr>
          <w:p w14:paraId="5CE615A5" w14:textId="69A3CF94" w:rsidR="00F67AF5" w:rsidRPr="007504E6" w:rsidRDefault="00F67AF5" w:rsidP="00F67AF5">
            <w:pPr>
              <w:spacing w:line="240" w:lineRule="auto"/>
              <w:ind w:firstLine="0"/>
              <w:jc w:val="right"/>
              <w:rPr>
                <w:rFonts w:ascii="Times New Roman" w:eastAsia="Times New Roman" w:hAnsi="Times New Roman" w:cs="Times New Roman"/>
                <w:color w:val="000000"/>
                <w:lang w:val="en-GB" w:eastAsia="lv-LV"/>
              </w:rPr>
            </w:pPr>
            <w:r w:rsidRPr="007504E6">
              <w:rPr>
                <w:szCs w:val="20"/>
                <w:lang w:val="en-GB"/>
              </w:rPr>
              <w:t>16.</w:t>
            </w:r>
          </w:p>
        </w:tc>
        <w:tc>
          <w:tcPr>
            <w:tcW w:w="5451" w:type="dxa"/>
            <w:noWrap/>
            <w:hideMark/>
          </w:tcPr>
          <w:p w14:paraId="5F816C88" w14:textId="7F65FACD" w:rsidR="00F67AF5" w:rsidRPr="007504E6" w:rsidRDefault="00F67AF5" w:rsidP="00F67AF5">
            <w:pPr>
              <w:spacing w:line="240" w:lineRule="auto"/>
              <w:ind w:firstLine="0"/>
              <w:jc w:val="left"/>
              <w:rPr>
                <w:rFonts w:ascii="Times New Roman" w:eastAsia="Times New Roman" w:hAnsi="Times New Roman" w:cs="Times New Roman"/>
                <w:color w:val="000000"/>
                <w:lang w:val="en-GB" w:eastAsia="lv-LV"/>
              </w:rPr>
            </w:pPr>
            <w:r w:rsidRPr="007504E6">
              <w:rPr>
                <w:szCs w:val="20"/>
                <w:lang w:val="en-GB"/>
              </w:rPr>
              <w:t>Natural resources tax rate in Latvia</w:t>
            </w:r>
          </w:p>
        </w:tc>
        <w:tc>
          <w:tcPr>
            <w:tcW w:w="1419" w:type="dxa"/>
            <w:noWrap/>
            <w:hideMark/>
          </w:tcPr>
          <w:p w14:paraId="032D8077" w14:textId="4CA8AFDB" w:rsidR="00F67AF5" w:rsidRPr="007504E6" w:rsidRDefault="00F67AF5" w:rsidP="00F67AF5">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57</w:t>
            </w:r>
          </w:p>
        </w:tc>
        <w:tc>
          <w:tcPr>
            <w:tcW w:w="1363" w:type="dxa"/>
            <w:noWrap/>
            <w:hideMark/>
          </w:tcPr>
          <w:p w14:paraId="03A60DA8" w14:textId="0BD68AF2" w:rsidR="00F67AF5" w:rsidRPr="007504E6" w:rsidRDefault="00F67AF5" w:rsidP="00F67AF5">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5.16</w:t>
            </w:r>
          </w:p>
        </w:tc>
      </w:tr>
      <w:tr w:rsidR="00F67AF5" w:rsidRPr="007504E6" w14:paraId="68BC31EB" w14:textId="77777777" w:rsidTr="001217BC">
        <w:trPr>
          <w:cnfStyle w:val="000000100000" w:firstRow="0" w:lastRow="0" w:firstColumn="0" w:lastColumn="0" w:oddVBand="0" w:evenVBand="0" w:oddHBand="1" w:evenHBand="0" w:firstRowFirstColumn="0" w:firstRowLastColumn="0" w:lastRowFirstColumn="0" w:lastRowLastColumn="0"/>
          <w:trHeight w:val="288"/>
        </w:trPr>
        <w:tc>
          <w:tcPr>
            <w:tcW w:w="789" w:type="dxa"/>
          </w:tcPr>
          <w:p w14:paraId="0996171C" w14:textId="68A14371" w:rsidR="00F67AF5" w:rsidRPr="007504E6" w:rsidRDefault="00F67AF5" w:rsidP="00F67AF5">
            <w:pPr>
              <w:spacing w:line="240" w:lineRule="auto"/>
              <w:ind w:firstLine="0"/>
              <w:jc w:val="right"/>
              <w:rPr>
                <w:rFonts w:ascii="Times New Roman" w:eastAsia="Times New Roman" w:hAnsi="Times New Roman" w:cs="Times New Roman"/>
                <w:color w:val="000000"/>
                <w:lang w:val="en-GB" w:eastAsia="lv-LV"/>
              </w:rPr>
            </w:pPr>
            <w:r w:rsidRPr="007504E6">
              <w:rPr>
                <w:szCs w:val="20"/>
                <w:lang w:val="en-GB"/>
              </w:rPr>
              <w:t>17.</w:t>
            </w:r>
          </w:p>
        </w:tc>
        <w:tc>
          <w:tcPr>
            <w:tcW w:w="5451" w:type="dxa"/>
            <w:noWrap/>
            <w:hideMark/>
          </w:tcPr>
          <w:p w14:paraId="3DD167C4" w14:textId="173D4C08" w:rsidR="00F67AF5" w:rsidRPr="007504E6" w:rsidRDefault="00F67AF5" w:rsidP="00F67AF5">
            <w:pPr>
              <w:spacing w:line="240" w:lineRule="auto"/>
              <w:ind w:firstLine="0"/>
              <w:jc w:val="left"/>
              <w:rPr>
                <w:rFonts w:ascii="Times New Roman" w:eastAsia="Times New Roman" w:hAnsi="Times New Roman" w:cs="Times New Roman"/>
                <w:color w:val="000000"/>
                <w:lang w:val="en-GB" w:eastAsia="lv-LV"/>
              </w:rPr>
            </w:pPr>
            <w:r w:rsidRPr="007504E6">
              <w:rPr>
                <w:szCs w:val="20"/>
                <w:lang w:val="en-GB"/>
              </w:rPr>
              <w:t xml:space="preserve">Construction of the project “Rail </w:t>
            </w:r>
            <w:proofErr w:type="spellStart"/>
            <w:r w:rsidRPr="007504E6">
              <w:rPr>
                <w:szCs w:val="20"/>
                <w:lang w:val="en-GB"/>
              </w:rPr>
              <w:t>Baltica</w:t>
            </w:r>
            <w:proofErr w:type="spellEnd"/>
            <w:r w:rsidRPr="007504E6">
              <w:rPr>
                <w:szCs w:val="20"/>
                <w:lang w:val="en-GB"/>
              </w:rPr>
              <w:t>”</w:t>
            </w:r>
          </w:p>
        </w:tc>
        <w:tc>
          <w:tcPr>
            <w:tcW w:w="1419" w:type="dxa"/>
            <w:noWrap/>
            <w:hideMark/>
          </w:tcPr>
          <w:p w14:paraId="258698D8" w14:textId="34E1ABC1" w:rsidR="00F67AF5" w:rsidRPr="007504E6" w:rsidRDefault="00F67AF5" w:rsidP="00F67AF5">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57</w:t>
            </w:r>
          </w:p>
        </w:tc>
        <w:tc>
          <w:tcPr>
            <w:tcW w:w="1363" w:type="dxa"/>
            <w:noWrap/>
            <w:hideMark/>
          </w:tcPr>
          <w:p w14:paraId="37A24EF7" w14:textId="6299EFD8" w:rsidR="00F67AF5" w:rsidRPr="007504E6" w:rsidRDefault="00F67AF5" w:rsidP="00F67AF5">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4.98</w:t>
            </w:r>
          </w:p>
        </w:tc>
      </w:tr>
      <w:tr w:rsidR="00F67AF5" w:rsidRPr="007504E6" w14:paraId="3427A4C7" w14:textId="77777777" w:rsidTr="001217BC">
        <w:trPr>
          <w:trHeight w:val="288"/>
        </w:trPr>
        <w:tc>
          <w:tcPr>
            <w:tcW w:w="789" w:type="dxa"/>
          </w:tcPr>
          <w:p w14:paraId="71C96114" w14:textId="15B1FE82" w:rsidR="00F67AF5" w:rsidRPr="007504E6" w:rsidRDefault="00F67AF5" w:rsidP="00F67AF5">
            <w:pPr>
              <w:spacing w:line="240" w:lineRule="auto"/>
              <w:ind w:firstLine="0"/>
              <w:jc w:val="right"/>
              <w:rPr>
                <w:rFonts w:ascii="Times New Roman" w:eastAsia="Times New Roman" w:hAnsi="Times New Roman" w:cs="Times New Roman"/>
                <w:color w:val="000000"/>
                <w:lang w:val="en-GB" w:eastAsia="lv-LV"/>
              </w:rPr>
            </w:pPr>
            <w:r w:rsidRPr="007504E6">
              <w:rPr>
                <w:szCs w:val="20"/>
                <w:lang w:val="en-GB"/>
              </w:rPr>
              <w:t>18.</w:t>
            </w:r>
          </w:p>
        </w:tc>
        <w:tc>
          <w:tcPr>
            <w:tcW w:w="5451" w:type="dxa"/>
            <w:noWrap/>
            <w:hideMark/>
          </w:tcPr>
          <w:p w14:paraId="16D3FC8F" w14:textId="30322C38" w:rsidR="00F67AF5" w:rsidRPr="007504E6" w:rsidRDefault="00F67AF5" w:rsidP="00F67AF5">
            <w:pPr>
              <w:spacing w:line="240" w:lineRule="auto"/>
              <w:ind w:firstLine="0"/>
              <w:jc w:val="left"/>
              <w:rPr>
                <w:rFonts w:ascii="Times New Roman" w:eastAsia="Times New Roman" w:hAnsi="Times New Roman" w:cs="Times New Roman"/>
                <w:color w:val="000000"/>
                <w:lang w:val="en-GB" w:eastAsia="lv-LV"/>
              </w:rPr>
            </w:pPr>
            <w:r w:rsidRPr="007504E6">
              <w:rPr>
                <w:szCs w:val="20"/>
                <w:lang w:val="en-GB"/>
              </w:rPr>
              <w:t>Intensity of digitization of construction processes</w:t>
            </w:r>
          </w:p>
        </w:tc>
        <w:tc>
          <w:tcPr>
            <w:tcW w:w="1419" w:type="dxa"/>
            <w:noWrap/>
            <w:hideMark/>
          </w:tcPr>
          <w:p w14:paraId="5D8CBAE9" w14:textId="4CB80794" w:rsidR="00F67AF5" w:rsidRPr="007504E6" w:rsidRDefault="00F67AF5" w:rsidP="00F67AF5">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58</w:t>
            </w:r>
          </w:p>
        </w:tc>
        <w:tc>
          <w:tcPr>
            <w:tcW w:w="1363" w:type="dxa"/>
            <w:noWrap/>
            <w:hideMark/>
          </w:tcPr>
          <w:p w14:paraId="7AEB68FD" w14:textId="7A56EF95" w:rsidR="00F67AF5" w:rsidRPr="007504E6" w:rsidRDefault="00F67AF5" w:rsidP="00F67AF5">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4.48</w:t>
            </w:r>
          </w:p>
        </w:tc>
      </w:tr>
      <w:tr w:rsidR="00F67AF5" w:rsidRPr="007504E6" w14:paraId="1EFCF3E6" w14:textId="77777777" w:rsidTr="001217BC">
        <w:trPr>
          <w:cnfStyle w:val="000000100000" w:firstRow="0" w:lastRow="0" w:firstColumn="0" w:lastColumn="0" w:oddVBand="0" w:evenVBand="0" w:oddHBand="1" w:evenHBand="0" w:firstRowFirstColumn="0" w:firstRowLastColumn="0" w:lastRowFirstColumn="0" w:lastRowLastColumn="0"/>
          <w:trHeight w:val="288"/>
        </w:trPr>
        <w:tc>
          <w:tcPr>
            <w:tcW w:w="789" w:type="dxa"/>
          </w:tcPr>
          <w:p w14:paraId="315D6688" w14:textId="4497288E" w:rsidR="00F67AF5" w:rsidRPr="007504E6" w:rsidRDefault="00F67AF5" w:rsidP="00F67AF5">
            <w:pPr>
              <w:spacing w:line="240" w:lineRule="auto"/>
              <w:ind w:firstLine="0"/>
              <w:jc w:val="right"/>
              <w:rPr>
                <w:rFonts w:ascii="Times New Roman" w:eastAsia="Times New Roman" w:hAnsi="Times New Roman" w:cs="Times New Roman"/>
                <w:color w:val="000000"/>
                <w:lang w:val="en-GB" w:eastAsia="lv-LV"/>
              </w:rPr>
            </w:pPr>
            <w:r w:rsidRPr="007504E6">
              <w:rPr>
                <w:szCs w:val="20"/>
                <w:lang w:val="en-GB"/>
              </w:rPr>
              <w:t>19.</w:t>
            </w:r>
          </w:p>
        </w:tc>
        <w:tc>
          <w:tcPr>
            <w:tcW w:w="5451" w:type="dxa"/>
            <w:noWrap/>
            <w:hideMark/>
          </w:tcPr>
          <w:p w14:paraId="6FE92B4D" w14:textId="52940CC9" w:rsidR="00F67AF5" w:rsidRPr="007504E6" w:rsidRDefault="00F67AF5" w:rsidP="00F67AF5">
            <w:pPr>
              <w:spacing w:line="240" w:lineRule="auto"/>
              <w:ind w:firstLine="0"/>
              <w:jc w:val="left"/>
              <w:rPr>
                <w:rFonts w:ascii="Times New Roman" w:eastAsia="Times New Roman" w:hAnsi="Times New Roman" w:cs="Times New Roman"/>
                <w:color w:val="000000"/>
                <w:lang w:val="en-GB" w:eastAsia="lv-LV"/>
              </w:rPr>
            </w:pPr>
            <w:r w:rsidRPr="007504E6">
              <w:rPr>
                <w:szCs w:val="20"/>
                <w:lang w:val="en-GB"/>
              </w:rPr>
              <w:t>Extent of measures to combat the shadow economy in Latvia</w:t>
            </w:r>
          </w:p>
        </w:tc>
        <w:tc>
          <w:tcPr>
            <w:tcW w:w="1419" w:type="dxa"/>
            <w:noWrap/>
            <w:hideMark/>
          </w:tcPr>
          <w:p w14:paraId="5F2F0DF9" w14:textId="742031A8" w:rsidR="00F67AF5" w:rsidRPr="007504E6" w:rsidRDefault="00F67AF5" w:rsidP="00F67AF5">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57</w:t>
            </w:r>
          </w:p>
        </w:tc>
        <w:tc>
          <w:tcPr>
            <w:tcW w:w="1363" w:type="dxa"/>
            <w:noWrap/>
            <w:hideMark/>
          </w:tcPr>
          <w:p w14:paraId="2B3803F7" w14:textId="21D96FC6" w:rsidR="00F67AF5" w:rsidRPr="007504E6" w:rsidRDefault="00F67AF5" w:rsidP="00F67AF5">
            <w:pPr>
              <w:spacing w:line="240" w:lineRule="auto"/>
              <w:ind w:firstLine="0"/>
              <w:jc w:val="center"/>
              <w:rPr>
                <w:rFonts w:ascii="Times New Roman" w:eastAsia="Times New Roman" w:hAnsi="Times New Roman" w:cs="Times New Roman"/>
                <w:color w:val="000000"/>
                <w:lang w:val="en-GB" w:eastAsia="lv-LV"/>
              </w:rPr>
            </w:pPr>
            <w:r w:rsidRPr="007504E6">
              <w:rPr>
                <w:szCs w:val="20"/>
                <w:lang w:val="en-GB"/>
              </w:rPr>
              <w:t>3.98</w:t>
            </w:r>
          </w:p>
        </w:tc>
      </w:tr>
    </w:tbl>
    <w:p w14:paraId="2FD6A2B3" w14:textId="77777777" w:rsidR="00B1654E" w:rsidRPr="007504E6" w:rsidRDefault="00B1654E" w:rsidP="00B1654E">
      <w:pPr>
        <w:ind w:firstLine="0"/>
        <w:rPr>
          <w:rFonts w:ascii="Times New Roman" w:hAnsi="Times New Roman" w:cs="Times New Roman"/>
          <w:lang w:val="en-GB"/>
        </w:rPr>
      </w:pPr>
    </w:p>
    <w:p w14:paraId="11DDB0BE" w14:textId="77777777" w:rsidR="00AE52C8" w:rsidRPr="007504E6" w:rsidRDefault="00AE52C8" w:rsidP="00AE52C8">
      <w:pPr>
        <w:spacing w:line="276" w:lineRule="auto"/>
        <w:ind w:firstLine="0"/>
        <w:rPr>
          <w:rFonts w:ascii="Times New Roman" w:hAnsi="Times New Roman" w:cs="Times New Roman"/>
          <w:lang w:val="en-GB"/>
        </w:rPr>
      </w:pPr>
      <w:r w:rsidRPr="007504E6">
        <w:rPr>
          <w:rFonts w:ascii="Times New Roman" w:hAnsi="Times New Roman" w:cs="Times New Roman"/>
          <w:lang w:val="en-GB"/>
        </w:rPr>
        <w:t>The three most important factors that affect the cost of construction materials, based on the overall assessment, are the average annual price of metal products, the volume of construction in Latvia and the average annual price of timber.</w:t>
      </w:r>
    </w:p>
    <w:p w14:paraId="00D22B30" w14:textId="77777777" w:rsidR="00AE52C8" w:rsidRPr="007504E6" w:rsidRDefault="00AE52C8" w:rsidP="00AE52C8">
      <w:pPr>
        <w:spacing w:line="276" w:lineRule="auto"/>
        <w:ind w:firstLine="0"/>
        <w:rPr>
          <w:rFonts w:ascii="Times New Roman" w:hAnsi="Times New Roman" w:cs="Times New Roman"/>
          <w:lang w:val="en-GB"/>
        </w:rPr>
      </w:pPr>
    </w:p>
    <w:p w14:paraId="6319F08E" w14:textId="19CF92D4" w:rsidR="00CE040F" w:rsidRPr="007504E6" w:rsidRDefault="00AE52C8" w:rsidP="00AE52C8">
      <w:pPr>
        <w:spacing w:line="276" w:lineRule="auto"/>
        <w:ind w:firstLine="0"/>
        <w:rPr>
          <w:rFonts w:ascii="Times New Roman" w:hAnsi="Times New Roman" w:cs="Times New Roman"/>
          <w:lang w:val="en-GB"/>
        </w:rPr>
      </w:pPr>
      <w:r w:rsidRPr="007504E6">
        <w:rPr>
          <w:rFonts w:ascii="Times New Roman" w:hAnsi="Times New Roman" w:cs="Times New Roman"/>
          <w:lang w:val="en-GB"/>
        </w:rPr>
        <w:t>The following have also been identified as important factors: the total demand of the EU construction market, the volume of construction plans implemented with public funds and the concentration of competition in the building materials market. These results are relatively unique compared to previous years, as they shed light on the significant impact of metal and wood costs on construction sector spending in 2021. Concentration of competition is also assessed significantly higher than in previous years</w:t>
      </w:r>
      <w:r w:rsidR="002644CB" w:rsidRPr="007504E6">
        <w:rPr>
          <w:rFonts w:ascii="Times New Roman" w:hAnsi="Times New Roman" w:cs="Times New Roman"/>
          <w:lang w:val="en-GB"/>
        </w:rPr>
        <w:t>.</w:t>
      </w:r>
    </w:p>
    <w:p w14:paraId="7931879F" w14:textId="77777777" w:rsidR="00B1654E" w:rsidRPr="007504E6" w:rsidRDefault="00B1654E" w:rsidP="00B1654E">
      <w:pPr>
        <w:spacing w:line="276" w:lineRule="auto"/>
        <w:ind w:firstLine="0"/>
        <w:rPr>
          <w:rFonts w:ascii="Times New Roman" w:hAnsi="Times New Roman" w:cs="Times New Roman"/>
          <w:lang w:val="en-GB"/>
        </w:rPr>
      </w:pPr>
    </w:p>
    <w:p w14:paraId="29ED7520" w14:textId="77777777" w:rsidR="00BE35FE" w:rsidRPr="007504E6" w:rsidRDefault="00BE35FE" w:rsidP="00BE35FE">
      <w:pPr>
        <w:spacing w:line="276" w:lineRule="auto"/>
        <w:ind w:firstLine="0"/>
        <w:rPr>
          <w:rFonts w:ascii="Times New Roman" w:hAnsi="Times New Roman" w:cs="Times New Roman"/>
          <w:lang w:val="en-GB"/>
        </w:rPr>
      </w:pPr>
      <w:bookmarkStart w:id="9" w:name="_Hlk77164259"/>
      <w:bookmarkStart w:id="10" w:name="_Hlk77011637"/>
      <w:r w:rsidRPr="007504E6">
        <w:rPr>
          <w:rFonts w:ascii="Times New Roman" w:hAnsi="Times New Roman" w:cs="Times New Roman"/>
          <w:lang w:val="en-GB"/>
        </w:rPr>
        <w:t>The above results refer to the overall assessment of experts from all sectors, but when looking at the situation in more detail, there are significant slight differences across sub-sectors. Significant differences can be observed in the sub-sector of construction of transport facilities, in which the second most important factor is the average fuel price in Latvia. However, metal and timber are also dominant factors in this sub-sector. Unusually, the most important factor has been identified in the sub-sector of urban infrastructure objects - the growth rates of the EU economy.</w:t>
      </w:r>
    </w:p>
    <w:p w14:paraId="15B30CD7" w14:textId="77777777" w:rsidR="00BE35FE" w:rsidRPr="007504E6" w:rsidRDefault="00BE35FE" w:rsidP="00BE35FE">
      <w:pPr>
        <w:spacing w:line="276" w:lineRule="auto"/>
        <w:ind w:firstLine="0"/>
        <w:rPr>
          <w:rFonts w:ascii="Times New Roman" w:hAnsi="Times New Roman" w:cs="Times New Roman"/>
          <w:lang w:val="en-GB"/>
        </w:rPr>
      </w:pPr>
    </w:p>
    <w:p w14:paraId="752E5432" w14:textId="6F3B46EB" w:rsidR="00CE040F" w:rsidRPr="007504E6" w:rsidRDefault="00BE35FE" w:rsidP="00BE35FE">
      <w:pPr>
        <w:spacing w:line="276" w:lineRule="auto"/>
        <w:ind w:firstLine="0"/>
        <w:rPr>
          <w:rFonts w:ascii="Times New Roman" w:hAnsi="Times New Roman" w:cs="Times New Roman"/>
          <w:lang w:val="en-GB"/>
        </w:rPr>
      </w:pPr>
      <w:r w:rsidRPr="007504E6">
        <w:rPr>
          <w:rFonts w:ascii="Times New Roman" w:hAnsi="Times New Roman" w:cs="Times New Roman"/>
          <w:lang w:val="en-GB"/>
        </w:rPr>
        <w:t>In the specialized construction, architectural and engineering services, technical testing and analysis sub-sectors, the second most important cost factor is the extent of epidemiological safety measures, which was not a significant factor in other expert groups. Thus, it can be concluded that the epidemiological measures for the architectural and engineering services, technical testing and analysis and specialized construction sub-sectors led to a more significant increase in costs than for the other sub-</w:t>
      </w:r>
      <w:r w:rsidR="00F0419C" w:rsidRPr="007504E6">
        <w:rPr>
          <w:rFonts w:ascii="Times New Roman" w:hAnsi="Times New Roman" w:cs="Times New Roman"/>
          <w:lang w:val="en-GB"/>
        </w:rPr>
        <w:t>sectors.</w:t>
      </w:r>
      <w:r w:rsidR="00885D59" w:rsidRPr="007504E6">
        <w:rPr>
          <w:rFonts w:ascii="Times New Roman" w:hAnsi="Times New Roman" w:cs="Times New Roman"/>
          <w:lang w:val="en-GB"/>
        </w:rPr>
        <w:t xml:space="preserve"> </w:t>
      </w:r>
      <w:bookmarkEnd w:id="9"/>
    </w:p>
    <w:bookmarkEnd w:id="10"/>
    <w:p w14:paraId="722CDA35" w14:textId="6D91EE57" w:rsidR="00EB701C" w:rsidRPr="007504E6" w:rsidRDefault="00EB701C" w:rsidP="00CE040F">
      <w:pPr>
        <w:rPr>
          <w:rFonts w:ascii="Times New Roman" w:hAnsi="Times New Roman" w:cs="Times New Roman"/>
          <w:lang w:val="en-GB"/>
        </w:rPr>
      </w:pPr>
    </w:p>
    <w:p w14:paraId="127166B6" w14:textId="237E0533" w:rsidR="00966AFC" w:rsidRPr="007504E6" w:rsidRDefault="00966AFC">
      <w:pPr>
        <w:spacing w:after="160" w:line="259" w:lineRule="auto"/>
        <w:ind w:firstLine="0"/>
        <w:jc w:val="left"/>
        <w:rPr>
          <w:rFonts w:ascii="Times New Roman" w:hAnsi="Times New Roman" w:cs="Times New Roman"/>
          <w:lang w:val="en-GB"/>
        </w:rPr>
      </w:pPr>
      <w:r w:rsidRPr="007504E6">
        <w:rPr>
          <w:rFonts w:ascii="Times New Roman" w:hAnsi="Times New Roman" w:cs="Times New Roman"/>
          <w:lang w:val="en-GB"/>
        </w:rPr>
        <w:br w:type="page"/>
      </w:r>
    </w:p>
    <w:p w14:paraId="349A2808" w14:textId="77777777" w:rsidR="00966AFC" w:rsidRPr="007504E6" w:rsidRDefault="00966AFC" w:rsidP="00CE040F">
      <w:pPr>
        <w:rPr>
          <w:rFonts w:ascii="Times New Roman" w:hAnsi="Times New Roman" w:cs="Times New Roman"/>
          <w:lang w:val="en-GB"/>
        </w:rPr>
      </w:pPr>
    </w:p>
    <w:p w14:paraId="15110317" w14:textId="3DAB362B" w:rsidR="00EB701C" w:rsidRPr="007504E6" w:rsidRDefault="00BE35FE" w:rsidP="00D64210">
      <w:pPr>
        <w:pStyle w:val="Virsraksts2"/>
        <w:numPr>
          <w:ilvl w:val="1"/>
          <w:numId w:val="5"/>
        </w:numPr>
        <w:rPr>
          <w:rFonts w:ascii="Times New Roman" w:hAnsi="Times New Roman" w:cs="Times New Roman"/>
          <w:b/>
          <w:bCs/>
          <w:color w:val="262626" w:themeColor="text1" w:themeTint="D9"/>
          <w:lang w:val="en-GB"/>
        </w:rPr>
      </w:pPr>
      <w:bookmarkStart w:id="11" w:name="_Toc77714119"/>
      <w:r w:rsidRPr="007504E6">
        <w:rPr>
          <w:rFonts w:ascii="Times New Roman" w:hAnsi="Times New Roman" w:cs="Times New Roman"/>
          <w:b/>
          <w:bCs/>
          <w:color w:val="262626" w:themeColor="text1" w:themeTint="D9"/>
          <w:lang w:val="en-GB"/>
        </w:rPr>
        <w:t>Forecast of changes in the volume and cost of construction output</w:t>
      </w:r>
      <w:bookmarkEnd w:id="11"/>
    </w:p>
    <w:p w14:paraId="5DDC4DE0" w14:textId="78B36F18" w:rsidR="0044797E" w:rsidRPr="007504E6" w:rsidRDefault="0044797E" w:rsidP="0044797E">
      <w:pPr>
        <w:rPr>
          <w:rFonts w:ascii="Times New Roman" w:hAnsi="Times New Roman" w:cs="Times New Roman"/>
          <w:color w:val="262626" w:themeColor="text1" w:themeTint="D9"/>
          <w:lang w:val="en-GB"/>
        </w:rPr>
      </w:pPr>
    </w:p>
    <w:p w14:paraId="221812D7" w14:textId="2867856B" w:rsidR="00C56344" w:rsidRPr="007504E6" w:rsidRDefault="00BE35FE" w:rsidP="00D64210">
      <w:pPr>
        <w:pStyle w:val="Virsraksts3"/>
        <w:numPr>
          <w:ilvl w:val="2"/>
          <w:numId w:val="5"/>
        </w:numPr>
        <w:rPr>
          <w:rFonts w:ascii="Times New Roman" w:hAnsi="Times New Roman" w:cs="Times New Roman"/>
          <w:b/>
          <w:bCs/>
          <w:color w:val="262626" w:themeColor="text1" w:themeTint="D9"/>
          <w:sz w:val="24"/>
          <w:szCs w:val="28"/>
          <w:lang w:val="en-GB"/>
        </w:rPr>
      </w:pPr>
      <w:r w:rsidRPr="007504E6">
        <w:rPr>
          <w:rFonts w:ascii="Times New Roman" w:hAnsi="Times New Roman" w:cs="Times New Roman"/>
          <w:b/>
          <w:bCs/>
          <w:color w:val="262626" w:themeColor="text1" w:themeTint="D9"/>
          <w:sz w:val="24"/>
          <w:szCs w:val="28"/>
          <w:lang w:val="en-GB"/>
        </w:rPr>
        <w:t>Overall industry forecast</w:t>
      </w:r>
    </w:p>
    <w:p w14:paraId="5AEE3424" w14:textId="733FEA38" w:rsidR="00BE35FE" w:rsidRPr="007504E6" w:rsidRDefault="00BE35FE" w:rsidP="00BE35FE">
      <w:pPr>
        <w:spacing w:line="276" w:lineRule="auto"/>
        <w:ind w:firstLine="0"/>
        <w:rPr>
          <w:rFonts w:ascii="Times New Roman" w:hAnsi="Times New Roman" w:cs="Times New Roman"/>
          <w:lang w:val="en-GB"/>
        </w:rPr>
      </w:pPr>
      <w:r w:rsidRPr="007504E6">
        <w:rPr>
          <w:rFonts w:ascii="Times New Roman" w:hAnsi="Times New Roman" w:cs="Times New Roman"/>
          <w:lang w:val="en-GB"/>
        </w:rPr>
        <w:t xml:space="preserve">Within the framework of the study, all involved experts provided a direct forecast, assessing the expected </w:t>
      </w:r>
      <w:r w:rsidR="00F0419C" w:rsidRPr="007504E6">
        <w:rPr>
          <w:rFonts w:ascii="Times New Roman" w:hAnsi="Times New Roman" w:cs="Times New Roman"/>
          <w:lang w:val="en-GB"/>
        </w:rPr>
        <w:t>number</w:t>
      </w:r>
      <w:r w:rsidRPr="007504E6">
        <w:rPr>
          <w:rFonts w:ascii="Times New Roman" w:hAnsi="Times New Roman" w:cs="Times New Roman"/>
          <w:lang w:val="en-GB"/>
        </w:rPr>
        <w:t xml:space="preserve"> of changes in the volume of construction output and, respectively, construction costs for the period from 2021 to 2025. Summarizing the forecasts provided by the experts, the average expert assessment for each forecasted year was obtained. In order to assess the variation of expert opinions in each year, the positive and negative deviation in the amount of standard deviation from the average expert forecast was calculated.</w:t>
      </w:r>
    </w:p>
    <w:p w14:paraId="7F533173" w14:textId="77777777" w:rsidR="00BE35FE" w:rsidRPr="007504E6" w:rsidRDefault="00BE35FE" w:rsidP="00BE35FE">
      <w:pPr>
        <w:spacing w:line="276" w:lineRule="auto"/>
        <w:ind w:firstLine="0"/>
        <w:rPr>
          <w:rFonts w:ascii="Times New Roman" w:hAnsi="Times New Roman" w:cs="Times New Roman"/>
          <w:lang w:val="en-GB"/>
        </w:rPr>
      </w:pPr>
    </w:p>
    <w:p w14:paraId="53947961" w14:textId="359D09F4" w:rsidR="0044797E" w:rsidRPr="007504E6" w:rsidRDefault="00BE35FE" w:rsidP="00BE35FE">
      <w:pPr>
        <w:spacing w:line="276" w:lineRule="auto"/>
        <w:ind w:firstLine="0"/>
        <w:rPr>
          <w:rFonts w:ascii="Times New Roman" w:hAnsi="Times New Roman" w:cs="Times New Roman"/>
          <w:lang w:val="en-GB"/>
        </w:rPr>
      </w:pPr>
      <w:r w:rsidRPr="007504E6">
        <w:rPr>
          <w:rFonts w:ascii="Times New Roman" w:hAnsi="Times New Roman" w:cs="Times New Roman"/>
          <w:lang w:val="en-GB"/>
        </w:rPr>
        <w:t>When forecasting changes in the volume of construction output, the average expert assessment indicates a moderate increase in the volume of construction output in 2021, after which only in 2022 a higher annual growth is forecast, followed by a continuous decrease until 2025</w:t>
      </w:r>
      <w:r w:rsidR="0044797E" w:rsidRPr="007504E6">
        <w:rPr>
          <w:rFonts w:ascii="Times New Roman" w:hAnsi="Times New Roman" w:cs="Times New Roman"/>
          <w:lang w:val="en-GB"/>
        </w:rPr>
        <w:t>.</w:t>
      </w:r>
    </w:p>
    <w:p w14:paraId="192A3E42" w14:textId="77777777" w:rsidR="00152E7F" w:rsidRPr="007504E6" w:rsidRDefault="00152E7F" w:rsidP="00152E7F">
      <w:pPr>
        <w:spacing w:line="276" w:lineRule="auto"/>
        <w:ind w:firstLine="0"/>
        <w:rPr>
          <w:rFonts w:ascii="Times New Roman" w:hAnsi="Times New Roman" w:cs="Times New Roman"/>
          <w:lang w:val="en-GB"/>
        </w:rPr>
      </w:pPr>
    </w:p>
    <w:p w14:paraId="7384B93E" w14:textId="13AB1A59" w:rsidR="004C7EDE" w:rsidRPr="007504E6" w:rsidRDefault="000D26F4" w:rsidP="004C7EDE">
      <w:pPr>
        <w:keepNext/>
        <w:rPr>
          <w:rFonts w:ascii="Times New Roman" w:hAnsi="Times New Roman" w:cs="Times New Roman"/>
          <w:lang w:val="en-GB"/>
        </w:rPr>
      </w:pPr>
      <w:r w:rsidRPr="007504E6">
        <w:rPr>
          <w:noProof/>
          <w:lang w:val="en-GB"/>
        </w:rPr>
        <w:drawing>
          <wp:inline distT="0" distB="0" distL="0" distR="0" wp14:anchorId="261E864D" wp14:editId="2DAFAFCB">
            <wp:extent cx="5040000" cy="2583826"/>
            <wp:effectExtent l="0" t="0" r="8255" b="6985"/>
            <wp:docPr id="216" name="Chart 216">
              <a:extLst xmlns:a="http://schemas.openxmlformats.org/drawingml/2006/main">
                <a:ext uri="{FF2B5EF4-FFF2-40B4-BE49-F238E27FC236}">
                  <a16:creationId xmlns:a16="http://schemas.microsoft.com/office/drawing/2014/main" id="{085B6E3F-89BE-4C04-86B7-D65BD70C8F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W w:w="7938" w:type="dxa"/>
        <w:tblInd w:w="709" w:type="dxa"/>
        <w:tblLayout w:type="fixed"/>
        <w:tblLook w:val="04A0" w:firstRow="1" w:lastRow="0" w:firstColumn="1" w:lastColumn="0" w:noHBand="0" w:noVBand="1"/>
      </w:tblPr>
      <w:tblGrid>
        <w:gridCol w:w="2527"/>
        <w:gridCol w:w="1149"/>
        <w:gridCol w:w="1149"/>
        <w:gridCol w:w="1149"/>
        <w:gridCol w:w="1149"/>
        <w:gridCol w:w="815"/>
      </w:tblGrid>
      <w:tr w:rsidR="006355A9" w:rsidRPr="007504E6" w14:paraId="6DACCBF1" w14:textId="77777777" w:rsidTr="00D575B4">
        <w:trPr>
          <w:trHeight w:val="288"/>
        </w:trPr>
        <w:tc>
          <w:tcPr>
            <w:tcW w:w="2527" w:type="dxa"/>
            <w:shd w:val="clear" w:color="auto" w:fill="auto"/>
            <w:noWrap/>
            <w:vAlign w:val="bottom"/>
            <w:hideMark/>
          </w:tcPr>
          <w:p w14:paraId="09F918A1" w14:textId="77777777" w:rsidR="006355A9" w:rsidRPr="007504E6" w:rsidRDefault="006355A9" w:rsidP="006355A9">
            <w:pPr>
              <w:spacing w:line="240" w:lineRule="auto"/>
              <w:ind w:firstLine="0"/>
              <w:jc w:val="left"/>
              <w:rPr>
                <w:rFonts w:ascii="Times New Roman" w:eastAsia="Times New Roman" w:hAnsi="Times New Roman" w:cs="Times New Roman"/>
                <w:color w:val="000000"/>
                <w:lang w:val="en-GB" w:eastAsia="lv-LV"/>
              </w:rPr>
            </w:pPr>
            <w:r w:rsidRPr="007504E6">
              <w:rPr>
                <w:rFonts w:ascii="Times New Roman" w:eastAsia="Times New Roman" w:hAnsi="Times New Roman" w:cs="Times New Roman"/>
                <w:color w:val="000000"/>
                <w:lang w:val="en-GB" w:eastAsia="lv-LV"/>
              </w:rPr>
              <w:t> </w:t>
            </w:r>
          </w:p>
        </w:tc>
        <w:tc>
          <w:tcPr>
            <w:tcW w:w="1149" w:type="dxa"/>
            <w:tcBorders>
              <w:bottom w:val="single" w:sz="4" w:space="0" w:color="808080" w:themeColor="background1" w:themeShade="80"/>
            </w:tcBorders>
            <w:shd w:val="clear" w:color="000000" w:fill="FFFFFF"/>
            <w:noWrap/>
            <w:vAlign w:val="center"/>
            <w:hideMark/>
          </w:tcPr>
          <w:p w14:paraId="3432A092" w14:textId="7976C27E" w:rsidR="006355A9" w:rsidRPr="007504E6" w:rsidRDefault="006355A9" w:rsidP="006355A9">
            <w:pPr>
              <w:spacing w:line="240" w:lineRule="auto"/>
              <w:ind w:firstLine="0"/>
              <w:jc w:val="center"/>
              <w:rPr>
                <w:rFonts w:ascii="Times New Roman" w:eastAsia="Times New Roman" w:hAnsi="Times New Roman" w:cs="Times New Roman"/>
                <w:color w:val="000000"/>
                <w:sz w:val="20"/>
                <w:szCs w:val="20"/>
                <w:lang w:val="en-GB" w:eastAsia="lv-LV"/>
              </w:rPr>
            </w:pPr>
            <w:r w:rsidRPr="007504E6">
              <w:rPr>
                <w:rFonts w:ascii="Times New Roman" w:eastAsia="Times New Roman" w:hAnsi="Times New Roman" w:cs="Times New Roman"/>
                <w:color w:val="000000"/>
                <w:sz w:val="20"/>
                <w:szCs w:val="20"/>
                <w:lang w:val="en-GB" w:eastAsia="lv-LV"/>
              </w:rPr>
              <w:t>2021</w:t>
            </w:r>
          </w:p>
        </w:tc>
        <w:tc>
          <w:tcPr>
            <w:tcW w:w="1149" w:type="dxa"/>
            <w:tcBorders>
              <w:bottom w:val="single" w:sz="4" w:space="0" w:color="808080" w:themeColor="background1" w:themeShade="80"/>
            </w:tcBorders>
            <w:shd w:val="clear" w:color="000000" w:fill="FFFFFF"/>
            <w:noWrap/>
            <w:vAlign w:val="center"/>
            <w:hideMark/>
          </w:tcPr>
          <w:p w14:paraId="1546D0D7" w14:textId="5C104B31" w:rsidR="006355A9" w:rsidRPr="007504E6" w:rsidRDefault="006355A9" w:rsidP="006355A9">
            <w:pPr>
              <w:spacing w:line="240" w:lineRule="auto"/>
              <w:ind w:firstLine="0"/>
              <w:jc w:val="center"/>
              <w:rPr>
                <w:rFonts w:ascii="Times New Roman" w:eastAsia="Times New Roman" w:hAnsi="Times New Roman" w:cs="Times New Roman"/>
                <w:color w:val="000000"/>
                <w:sz w:val="20"/>
                <w:szCs w:val="20"/>
                <w:lang w:val="en-GB" w:eastAsia="lv-LV"/>
              </w:rPr>
            </w:pPr>
            <w:r w:rsidRPr="007504E6">
              <w:rPr>
                <w:rFonts w:ascii="Times New Roman" w:eastAsia="Times New Roman" w:hAnsi="Times New Roman" w:cs="Times New Roman"/>
                <w:color w:val="000000"/>
                <w:sz w:val="20"/>
                <w:szCs w:val="20"/>
                <w:lang w:val="en-GB" w:eastAsia="lv-LV"/>
              </w:rPr>
              <w:t>2022</w:t>
            </w:r>
          </w:p>
        </w:tc>
        <w:tc>
          <w:tcPr>
            <w:tcW w:w="1149" w:type="dxa"/>
            <w:tcBorders>
              <w:bottom w:val="single" w:sz="4" w:space="0" w:color="808080" w:themeColor="background1" w:themeShade="80"/>
            </w:tcBorders>
            <w:shd w:val="clear" w:color="000000" w:fill="FFFFFF"/>
            <w:noWrap/>
            <w:vAlign w:val="center"/>
            <w:hideMark/>
          </w:tcPr>
          <w:p w14:paraId="58C68CBD" w14:textId="78217488" w:rsidR="006355A9" w:rsidRPr="007504E6" w:rsidRDefault="006355A9" w:rsidP="006355A9">
            <w:pPr>
              <w:spacing w:line="240" w:lineRule="auto"/>
              <w:ind w:firstLine="0"/>
              <w:jc w:val="center"/>
              <w:rPr>
                <w:rFonts w:ascii="Times New Roman" w:eastAsia="Times New Roman" w:hAnsi="Times New Roman" w:cs="Times New Roman"/>
                <w:color w:val="000000"/>
                <w:sz w:val="20"/>
                <w:szCs w:val="20"/>
                <w:lang w:val="en-GB" w:eastAsia="lv-LV"/>
              </w:rPr>
            </w:pPr>
            <w:r w:rsidRPr="007504E6">
              <w:rPr>
                <w:rFonts w:ascii="Times New Roman" w:eastAsia="Times New Roman" w:hAnsi="Times New Roman" w:cs="Times New Roman"/>
                <w:color w:val="000000"/>
                <w:sz w:val="20"/>
                <w:szCs w:val="20"/>
                <w:lang w:val="en-GB" w:eastAsia="lv-LV"/>
              </w:rPr>
              <w:t>2023</w:t>
            </w:r>
          </w:p>
        </w:tc>
        <w:tc>
          <w:tcPr>
            <w:tcW w:w="1149" w:type="dxa"/>
            <w:tcBorders>
              <w:bottom w:val="single" w:sz="4" w:space="0" w:color="808080" w:themeColor="background1" w:themeShade="80"/>
            </w:tcBorders>
            <w:shd w:val="clear" w:color="000000" w:fill="FFFFFF"/>
            <w:noWrap/>
            <w:vAlign w:val="center"/>
            <w:hideMark/>
          </w:tcPr>
          <w:p w14:paraId="5412172F" w14:textId="36808E87" w:rsidR="006355A9" w:rsidRPr="007504E6" w:rsidRDefault="006355A9" w:rsidP="006355A9">
            <w:pPr>
              <w:spacing w:line="240" w:lineRule="auto"/>
              <w:ind w:firstLine="0"/>
              <w:jc w:val="center"/>
              <w:rPr>
                <w:rFonts w:ascii="Times New Roman" w:eastAsia="Times New Roman" w:hAnsi="Times New Roman" w:cs="Times New Roman"/>
                <w:color w:val="000000"/>
                <w:sz w:val="20"/>
                <w:szCs w:val="20"/>
                <w:lang w:val="en-GB" w:eastAsia="lv-LV"/>
              </w:rPr>
            </w:pPr>
            <w:r w:rsidRPr="007504E6">
              <w:rPr>
                <w:rFonts w:ascii="Times New Roman" w:eastAsia="Times New Roman" w:hAnsi="Times New Roman" w:cs="Times New Roman"/>
                <w:color w:val="000000"/>
                <w:sz w:val="20"/>
                <w:szCs w:val="20"/>
                <w:lang w:val="en-GB" w:eastAsia="lv-LV"/>
              </w:rPr>
              <w:t>2024</w:t>
            </w:r>
          </w:p>
        </w:tc>
        <w:tc>
          <w:tcPr>
            <w:tcW w:w="815" w:type="dxa"/>
            <w:tcBorders>
              <w:bottom w:val="single" w:sz="4" w:space="0" w:color="808080" w:themeColor="background1" w:themeShade="80"/>
            </w:tcBorders>
            <w:shd w:val="clear" w:color="000000" w:fill="FFFFFF"/>
            <w:noWrap/>
            <w:vAlign w:val="center"/>
            <w:hideMark/>
          </w:tcPr>
          <w:p w14:paraId="55104ED3" w14:textId="7CE8941A" w:rsidR="006355A9" w:rsidRPr="007504E6" w:rsidRDefault="006355A9" w:rsidP="006355A9">
            <w:pPr>
              <w:spacing w:line="240" w:lineRule="auto"/>
              <w:ind w:firstLine="0"/>
              <w:jc w:val="center"/>
              <w:rPr>
                <w:rFonts w:ascii="Times New Roman" w:eastAsia="Times New Roman" w:hAnsi="Times New Roman" w:cs="Times New Roman"/>
                <w:color w:val="000000"/>
                <w:sz w:val="20"/>
                <w:szCs w:val="20"/>
                <w:lang w:val="en-GB" w:eastAsia="lv-LV"/>
              </w:rPr>
            </w:pPr>
            <w:r w:rsidRPr="007504E6">
              <w:rPr>
                <w:rFonts w:ascii="Times New Roman" w:eastAsia="Times New Roman" w:hAnsi="Times New Roman" w:cs="Times New Roman"/>
                <w:color w:val="000000"/>
                <w:sz w:val="20"/>
                <w:szCs w:val="20"/>
                <w:lang w:val="en-GB" w:eastAsia="lv-LV"/>
              </w:rPr>
              <w:t>2025</w:t>
            </w:r>
          </w:p>
        </w:tc>
      </w:tr>
      <w:tr w:rsidR="00014BEC" w:rsidRPr="007504E6" w14:paraId="21C1085C" w14:textId="77777777" w:rsidTr="00D575B4">
        <w:trPr>
          <w:trHeight w:val="288"/>
        </w:trPr>
        <w:tc>
          <w:tcPr>
            <w:tcW w:w="2527" w:type="dxa"/>
            <w:tcBorders>
              <w:right w:val="single" w:sz="4" w:space="0" w:color="808080" w:themeColor="background1" w:themeShade="80"/>
            </w:tcBorders>
            <w:shd w:val="clear" w:color="000000" w:fill="FFFFFF"/>
            <w:noWrap/>
            <w:vAlign w:val="bottom"/>
            <w:hideMark/>
          </w:tcPr>
          <w:p w14:paraId="1918CDD8" w14:textId="55C4C728" w:rsidR="00014BEC" w:rsidRPr="007504E6" w:rsidRDefault="00014BEC" w:rsidP="00014BEC">
            <w:pPr>
              <w:spacing w:line="240" w:lineRule="auto"/>
              <w:ind w:firstLine="0"/>
              <w:jc w:val="left"/>
              <w:rPr>
                <w:rFonts w:ascii="Times New Roman" w:eastAsia="Times New Roman" w:hAnsi="Times New Roman" w:cs="Times New Roman"/>
                <w:color w:val="000000"/>
                <w:sz w:val="18"/>
                <w:szCs w:val="18"/>
                <w:lang w:val="en-GB" w:eastAsia="lv-LV"/>
              </w:rPr>
            </w:pPr>
            <w:r w:rsidRPr="007504E6">
              <w:rPr>
                <w:sz w:val="18"/>
                <w:szCs w:val="18"/>
                <w:lang w:val="en-GB"/>
              </w:rPr>
              <w:t>Statistical forecast</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679DA385" w14:textId="53B9AD55" w:rsidR="00014BEC" w:rsidRPr="007504E6" w:rsidRDefault="00014BEC" w:rsidP="00014BEC">
            <w:pPr>
              <w:spacing w:line="240" w:lineRule="auto"/>
              <w:ind w:firstLine="0"/>
              <w:jc w:val="center"/>
              <w:rPr>
                <w:rFonts w:ascii="Times New Roman" w:eastAsia="Times New Roman" w:hAnsi="Times New Roman" w:cs="Times New Roman"/>
                <w:color w:val="000000"/>
                <w:sz w:val="18"/>
                <w:szCs w:val="18"/>
                <w:lang w:val="en-GB" w:eastAsia="lv-LV"/>
              </w:rPr>
            </w:pPr>
            <w:r w:rsidRPr="007504E6">
              <w:rPr>
                <w:sz w:val="18"/>
                <w:szCs w:val="18"/>
                <w:lang w:val="en-GB"/>
              </w:rPr>
              <w:t>4.5</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25970D2B" w14:textId="22D5478E" w:rsidR="00014BEC" w:rsidRPr="007504E6" w:rsidRDefault="00014BEC" w:rsidP="00014BEC">
            <w:pPr>
              <w:spacing w:line="240" w:lineRule="auto"/>
              <w:ind w:firstLine="0"/>
              <w:jc w:val="center"/>
              <w:rPr>
                <w:rFonts w:ascii="Times New Roman" w:eastAsia="Times New Roman" w:hAnsi="Times New Roman" w:cs="Times New Roman"/>
                <w:color w:val="000000"/>
                <w:sz w:val="18"/>
                <w:szCs w:val="18"/>
                <w:lang w:val="en-GB" w:eastAsia="lv-LV"/>
              </w:rPr>
            </w:pPr>
            <w:r w:rsidRPr="007504E6">
              <w:rPr>
                <w:sz w:val="18"/>
                <w:szCs w:val="18"/>
                <w:lang w:val="en-GB"/>
              </w:rPr>
              <w:t>4.2</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2EE0FB05" w14:textId="4B4F510D" w:rsidR="00014BEC" w:rsidRPr="007504E6" w:rsidRDefault="00014BEC" w:rsidP="00014BEC">
            <w:pPr>
              <w:spacing w:line="240" w:lineRule="auto"/>
              <w:ind w:firstLine="0"/>
              <w:jc w:val="center"/>
              <w:rPr>
                <w:rFonts w:ascii="Times New Roman" w:eastAsia="Times New Roman" w:hAnsi="Times New Roman" w:cs="Times New Roman"/>
                <w:color w:val="000000"/>
                <w:sz w:val="18"/>
                <w:szCs w:val="18"/>
                <w:lang w:val="en-GB" w:eastAsia="lv-LV"/>
              </w:rPr>
            </w:pPr>
            <w:r w:rsidRPr="007504E6">
              <w:rPr>
                <w:sz w:val="18"/>
                <w:szCs w:val="18"/>
                <w:lang w:val="en-GB"/>
              </w:rPr>
              <w:t>3.9</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080AC4D6" w14:textId="40F519F3" w:rsidR="00014BEC" w:rsidRPr="007504E6" w:rsidRDefault="00014BEC" w:rsidP="00014BEC">
            <w:pPr>
              <w:spacing w:line="240" w:lineRule="auto"/>
              <w:ind w:firstLine="0"/>
              <w:jc w:val="center"/>
              <w:rPr>
                <w:rFonts w:ascii="Times New Roman" w:eastAsia="Times New Roman" w:hAnsi="Times New Roman" w:cs="Times New Roman"/>
                <w:color w:val="000000"/>
                <w:sz w:val="18"/>
                <w:szCs w:val="18"/>
                <w:lang w:val="en-GB" w:eastAsia="lv-LV"/>
              </w:rPr>
            </w:pPr>
            <w:r w:rsidRPr="007504E6">
              <w:rPr>
                <w:sz w:val="18"/>
                <w:szCs w:val="18"/>
                <w:lang w:val="en-GB"/>
              </w:rPr>
              <w:t>3.6</w:t>
            </w:r>
          </w:p>
        </w:tc>
        <w:tc>
          <w:tcPr>
            <w:tcW w:w="8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202E0D4D" w14:textId="67B25D08" w:rsidR="00014BEC" w:rsidRPr="007504E6" w:rsidRDefault="00014BEC" w:rsidP="00014BEC">
            <w:pPr>
              <w:spacing w:line="240" w:lineRule="auto"/>
              <w:ind w:firstLine="0"/>
              <w:jc w:val="center"/>
              <w:rPr>
                <w:rFonts w:ascii="Times New Roman" w:eastAsia="Times New Roman" w:hAnsi="Times New Roman" w:cs="Times New Roman"/>
                <w:color w:val="000000"/>
                <w:sz w:val="18"/>
                <w:szCs w:val="18"/>
                <w:lang w:val="en-GB" w:eastAsia="lv-LV"/>
              </w:rPr>
            </w:pPr>
            <w:r w:rsidRPr="007504E6">
              <w:rPr>
                <w:sz w:val="18"/>
                <w:szCs w:val="18"/>
                <w:lang w:val="en-GB"/>
              </w:rPr>
              <w:t>3.3</w:t>
            </w:r>
          </w:p>
        </w:tc>
      </w:tr>
      <w:tr w:rsidR="00014BEC" w:rsidRPr="007504E6" w14:paraId="62F45276" w14:textId="77777777" w:rsidTr="00D575B4">
        <w:trPr>
          <w:trHeight w:val="288"/>
        </w:trPr>
        <w:tc>
          <w:tcPr>
            <w:tcW w:w="2527" w:type="dxa"/>
            <w:tcBorders>
              <w:right w:val="single" w:sz="4" w:space="0" w:color="808080" w:themeColor="background1" w:themeShade="80"/>
            </w:tcBorders>
            <w:shd w:val="clear" w:color="000000" w:fill="FFFFFF"/>
            <w:noWrap/>
            <w:vAlign w:val="bottom"/>
            <w:hideMark/>
          </w:tcPr>
          <w:p w14:paraId="056A6C8B" w14:textId="06EA1693" w:rsidR="00014BEC" w:rsidRPr="007504E6" w:rsidRDefault="00014BEC" w:rsidP="00014BEC">
            <w:pPr>
              <w:spacing w:line="240" w:lineRule="auto"/>
              <w:ind w:firstLine="0"/>
              <w:jc w:val="left"/>
              <w:rPr>
                <w:rFonts w:ascii="Times New Roman" w:eastAsia="Times New Roman" w:hAnsi="Times New Roman" w:cs="Times New Roman"/>
                <w:b/>
                <w:bCs/>
                <w:color w:val="000000"/>
                <w:sz w:val="20"/>
                <w:szCs w:val="20"/>
                <w:lang w:val="en-GB" w:eastAsia="lv-LV"/>
              </w:rPr>
            </w:pPr>
            <w:r w:rsidRPr="007504E6">
              <w:rPr>
                <w:b/>
                <w:bCs/>
                <w:sz w:val="20"/>
                <w:szCs w:val="20"/>
                <w:lang w:val="en-GB"/>
              </w:rPr>
              <w:t>Combined forecast</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5ED2D009" w14:textId="45FEBD9A" w:rsidR="00014BEC" w:rsidRPr="007504E6" w:rsidRDefault="00014BEC" w:rsidP="00014BEC">
            <w:pPr>
              <w:spacing w:line="240" w:lineRule="auto"/>
              <w:ind w:firstLine="0"/>
              <w:jc w:val="center"/>
              <w:rPr>
                <w:rFonts w:ascii="Times New Roman" w:eastAsia="Times New Roman" w:hAnsi="Times New Roman" w:cs="Times New Roman"/>
                <w:b/>
                <w:bCs/>
                <w:color w:val="000000"/>
                <w:sz w:val="20"/>
                <w:szCs w:val="20"/>
                <w:lang w:val="en-GB" w:eastAsia="lv-LV"/>
              </w:rPr>
            </w:pPr>
            <w:r w:rsidRPr="007504E6">
              <w:rPr>
                <w:b/>
                <w:bCs/>
                <w:sz w:val="20"/>
                <w:szCs w:val="20"/>
                <w:lang w:val="en-GB"/>
              </w:rPr>
              <w:t>6.6</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5883C44E" w14:textId="584753CA" w:rsidR="00014BEC" w:rsidRPr="007504E6" w:rsidRDefault="00014BEC" w:rsidP="00014BEC">
            <w:pPr>
              <w:spacing w:line="240" w:lineRule="auto"/>
              <w:ind w:firstLine="0"/>
              <w:jc w:val="center"/>
              <w:rPr>
                <w:rFonts w:ascii="Times New Roman" w:eastAsia="Times New Roman" w:hAnsi="Times New Roman" w:cs="Times New Roman"/>
                <w:b/>
                <w:bCs/>
                <w:color w:val="000000"/>
                <w:sz w:val="20"/>
                <w:szCs w:val="20"/>
                <w:lang w:val="en-GB" w:eastAsia="lv-LV"/>
              </w:rPr>
            </w:pPr>
            <w:r w:rsidRPr="007504E6">
              <w:rPr>
                <w:b/>
                <w:bCs/>
                <w:sz w:val="20"/>
                <w:szCs w:val="20"/>
                <w:lang w:val="en-GB"/>
              </w:rPr>
              <w:t>7.1</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520ED8C6" w14:textId="49555FB3" w:rsidR="00014BEC" w:rsidRPr="007504E6" w:rsidRDefault="00014BEC" w:rsidP="00014BEC">
            <w:pPr>
              <w:spacing w:line="240" w:lineRule="auto"/>
              <w:ind w:firstLine="0"/>
              <w:jc w:val="center"/>
              <w:rPr>
                <w:rFonts w:ascii="Times New Roman" w:eastAsia="Times New Roman" w:hAnsi="Times New Roman" w:cs="Times New Roman"/>
                <w:b/>
                <w:bCs/>
                <w:color w:val="000000"/>
                <w:sz w:val="20"/>
                <w:szCs w:val="20"/>
                <w:lang w:val="en-GB" w:eastAsia="lv-LV"/>
              </w:rPr>
            </w:pPr>
            <w:r w:rsidRPr="007504E6">
              <w:rPr>
                <w:b/>
                <w:bCs/>
                <w:sz w:val="20"/>
                <w:szCs w:val="20"/>
                <w:lang w:val="en-GB"/>
              </w:rPr>
              <w:t>6.5</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1E9F081C" w14:textId="5B6385A0" w:rsidR="00014BEC" w:rsidRPr="007504E6" w:rsidRDefault="00014BEC" w:rsidP="00014BEC">
            <w:pPr>
              <w:spacing w:line="240" w:lineRule="auto"/>
              <w:ind w:firstLine="0"/>
              <w:jc w:val="center"/>
              <w:rPr>
                <w:rFonts w:ascii="Times New Roman" w:eastAsia="Times New Roman" w:hAnsi="Times New Roman" w:cs="Times New Roman"/>
                <w:b/>
                <w:bCs/>
                <w:color w:val="000000"/>
                <w:sz w:val="20"/>
                <w:szCs w:val="20"/>
                <w:lang w:val="en-GB" w:eastAsia="lv-LV"/>
              </w:rPr>
            </w:pPr>
            <w:r w:rsidRPr="007504E6">
              <w:rPr>
                <w:b/>
                <w:bCs/>
                <w:sz w:val="20"/>
                <w:szCs w:val="20"/>
                <w:lang w:val="en-GB"/>
              </w:rPr>
              <w:t>5.1</w:t>
            </w:r>
          </w:p>
        </w:tc>
        <w:tc>
          <w:tcPr>
            <w:tcW w:w="8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5606EE64" w14:textId="6632D2A4" w:rsidR="00014BEC" w:rsidRPr="007504E6" w:rsidRDefault="00014BEC" w:rsidP="00014BEC">
            <w:pPr>
              <w:spacing w:line="240" w:lineRule="auto"/>
              <w:ind w:firstLine="0"/>
              <w:jc w:val="center"/>
              <w:rPr>
                <w:rFonts w:ascii="Times New Roman" w:eastAsia="Times New Roman" w:hAnsi="Times New Roman" w:cs="Times New Roman"/>
                <w:b/>
                <w:bCs/>
                <w:color w:val="000000"/>
                <w:sz w:val="20"/>
                <w:szCs w:val="20"/>
                <w:lang w:val="en-GB" w:eastAsia="lv-LV"/>
              </w:rPr>
            </w:pPr>
            <w:r w:rsidRPr="007504E6">
              <w:rPr>
                <w:b/>
                <w:bCs/>
                <w:sz w:val="20"/>
                <w:szCs w:val="20"/>
                <w:lang w:val="en-GB"/>
              </w:rPr>
              <w:t>4.9</w:t>
            </w:r>
          </w:p>
        </w:tc>
      </w:tr>
      <w:tr w:rsidR="00014BEC" w:rsidRPr="007504E6" w14:paraId="76D97DA7" w14:textId="77777777" w:rsidTr="00D575B4">
        <w:trPr>
          <w:trHeight w:val="288"/>
        </w:trPr>
        <w:tc>
          <w:tcPr>
            <w:tcW w:w="2527" w:type="dxa"/>
            <w:tcBorders>
              <w:right w:val="single" w:sz="4" w:space="0" w:color="808080" w:themeColor="background1" w:themeShade="80"/>
            </w:tcBorders>
            <w:shd w:val="clear" w:color="000000" w:fill="FFFFFF"/>
            <w:noWrap/>
            <w:vAlign w:val="bottom"/>
            <w:hideMark/>
          </w:tcPr>
          <w:p w14:paraId="520C546E" w14:textId="774D101C" w:rsidR="00014BEC" w:rsidRPr="007504E6" w:rsidRDefault="00014BEC" w:rsidP="00014BEC">
            <w:pPr>
              <w:spacing w:line="240" w:lineRule="auto"/>
              <w:ind w:firstLine="0"/>
              <w:jc w:val="left"/>
              <w:rPr>
                <w:rFonts w:ascii="Times New Roman" w:eastAsia="Times New Roman" w:hAnsi="Times New Roman" w:cs="Times New Roman"/>
                <w:color w:val="000000"/>
                <w:sz w:val="18"/>
                <w:szCs w:val="18"/>
                <w:lang w:val="en-GB" w:eastAsia="lv-LV"/>
              </w:rPr>
            </w:pPr>
            <w:r w:rsidRPr="007504E6">
              <w:rPr>
                <w:sz w:val="18"/>
                <w:szCs w:val="18"/>
                <w:lang w:val="en-GB"/>
              </w:rPr>
              <w:t>Expert forecast</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3E0FD874" w14:textId="7B159147" w:rsidR="00014BEC" w:rsidRPr="007504E6" w:rsidRDefault="00014BEC" w:rsidP="00014BEC">
            <w:pPr>
              <w:spacing w:line="240" w:lineRule="auto"/>
              <w:ind w:firstLine="0"/>
              <w:jc w:val="center"/>
              <w:rPr>
                <w:rFonts w:ascii="Times New Roman" w:eastAsia="Times New Roman" w:hAnsi="Times New Roman" w:cs="Times New Roman"/>
                <w:color w:val="000000"/>
                <w:sz w:val="18"/>
                <w:szCs w:val="18"/>
                <w:lang w:val="en-GB" w:eastAsia="lv-LV"/>
              </w:rPr>
            </w:pPr>
            <w:r w:rsidRPr="007504E6">
              <w:rPr>
                <w:sz w:val="18"/>
                <w:szCs w:val="18"/>
                <w:lang w:val="en-GB"/>
              </w:rPr>
              <w:t>8.7</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00EFA17A" w14:textId="33BABB2D" w:rsidR="00014BEC" w:rsidRPr="007504E6" w:rsidRDefault="00014BEC" w:rsidP="00014BEC">
            <w:pPr>
              <w:spacing w:line="240" w:lineRule="auto"/>
              <w:ind w:firstLine="0"/>
              <w:jc w:val="center"/>
              <w:rPr>
                <w:rFonts w:ascii="Times New Roman" w:eastAsia="Times New Roman" w:hAnsi="Times New Roman" w:cs="Times New Roman"/>
                <w:color w:val="000000"/>
                <w:sz w:val="18"/>
                <w:szCs w:val="18"/>
                <w:lang w:val="en-GB" w:eastAsia="lv-LV"/>
              </w:rPr>
            </w:pPr>
            <w:r w:rsidRPr="007504E6">
              <w:rPr>
                <w:sz w:val="18"/>
                <w:szCs w:val="18"/>
                <w:lang w:val="en-GB"/>
              </w:rPr>
              <w:t>10.1</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041275CE" w14:textId="562C481A" w:rsidR="00014BEC" w:rsidRPr="007504E6" w:rsidRDefault="00014BEC" w:rsidP="00014BEC">
            <w:pPr>
              <w:spacing w:line="240" w:lineRule="auto"/>
              <w:ind w:firstLine="0"/>
              <w:jc w:val="center"/>
              <w:rPr>
                <w:rFonts w:ascii="Times New Roman" w:eastAsia="Times New Roman" w:hAnsi="Times New Roman" w:cs="Times New Roman"/>
                <w:color w:val="000000"/>
                <w:sz w:val="18"/>
                <w:szCs w:val="18"/>
                <w:lang w:val="en-GB" w:eastAsia="lv-LV"/>
              </w:rPr>
            </w:pPr>
            <w:r w:rsidRPr="007504E6">
              <w:rPr>
                <w:sz w:val="18"/>
                <w:szCs w:val="18"/>
                <w:lang w:val="en-GB"/>
              </w:rPr>
              <w:t>9.1</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533E00F4" w14:textId="01C966C9" w:rsidR="00014BEC" w:rsidRPr="007504E6" w:rsidRDefault="00014BEC" w:rsidP="00014BEC">
            <w:pPr>
              <w:spacing w:line="240" w:lineRule="auto"/>
              <w:ind w:firstLine="0"/>
              <w:jc w:val="center"/>
              <w:rPr>
                <w:rFonts w:ascii="Times New Roman" w:eastAsia="Times New Roman" w:hAnsi="Times New Roman" w:cs="Times New Roman"/>
                <w:color w:val="000000"/>
                <w:sz w:val="18"/>
                <w:szCs w:val="18"/>
                <w:lang w:val="en-GB" w:eastAsia="lv-LV"/>
              </w:rPr>
            </w:pPr>
            <w:r w:rsidRPr="007504E6">
              <w:rPr>
                <w:sz w:val="18"/>
                <w:szCs w:val="18"/>
                <w:lang w:val="en-GB"/>
              </w:rPr>
              <w:t>6.6</w:t>
            </w:r>
          </w:p>
        </w:tc>
        <w:tc>
          <w:tcPr>
            <w:tcW w:w="8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0CB780EB" w14:textId="06C7B420" w:rsidR="00014BEC" w:rsidRPr="007504E6" w:rsidRDefault="00014BEC" w:rsidP="00014BEC">
            <w:pPr>
              <w:spacing w:line="240" w:lineRule="auto"/>
              <w:ind w:firstLine="0"/>
              <w:jc w:val="center"/>
              <w:rPr>
                <w:rFonts w:ascii="Times New Roman" w:eastAsia="Times New Roman" w:hAnsi="Times New Roman" w:cs="Times New Roman"/>
                <w:color w:val="000000"/>
                <w:sz w:val="18"/>
                <w:szCs w:val="18"/>
                <w:lang w:val="en-GB" w:eastAsia="lv-LV"/>
              </w:rPr>
            </w:pPr>
            <w:r w:rsidRPr="007504E6">
              <w:rPr>
                <w:sz w:val="18"/>
                <w:szCs w:val="18"/>
                <w:lang w:val="en-GB"/>
              </w:rPr>
              <w:t>6.4</w:t>
            </w:r>
          </w:p>
        </w:tc>
      </w:tr>
    </w:tbl>
    <w:p w14:paraId="5033FC58" w14:textId="77777777" w:rsidR="006355A9" w:rsidRPr="007504E6" w:rsidRDefault="006355A9" w:rsidP="004C7EDE">
      <w:pPr>
        <w:keepNext/>
        <w:rPr>
          <w:rFonts w:ascii="Times New Roman" w:hAnsi="Times New Roman" w:cs="Times New Roman"/>
          <w:lang w:val="en-GB"/>
        </w:rPr>
      </w:pPr>
    </w:p>
    <w:p w14:paraId="33CCA742" w14:textId="5EBA3475" w:rsidR="00CE040F" w:rsidRPr="007504E6" w:rsidRDefault="0089029F" w:rsidP="005F622A">
      <w:pPr>
        <w:pStyle w:val="Parakstszemobjekta"/>
        <w:jc w:val="center"/>
        <w:rPr>
          <w:rFonts w:ascii="Times New Roman" w:hAnsi="Times New Roman" w:cs="Times New Roman"/>
          <w:lang w:val="en-GB"/>
        </w:rPr>
      </w:pPr>
      <w:r w:rsidRPr="007504E6">
        <w:rPr>
          <w:lang w:val="en-GB"/>
        </w:rPr>
        <w:t>Fig</w:t>
      </w:r>
      <w:r w:rsidR="001B0C98" w:rsidRPr="007504E6">
        <w:rPr>
          <w:lang w:val="en-GB"/>
        </w:rPr>
        <w:t xml:space="preserve"> </w:t>
      </w:r>
      <w:r w:rsidR="00D64210" w:rsidRPr="007504E6">
        <w:rPr>
          <w:lang w:val="en-GB"/>
        </w:rPr>
        <w:fldChar w:fldCharType="begin"/>
      </w:r>
      <w:r w:rsidR="00D64210" w:rsidRPr="007504E6">
        <w:rPr>
          <w:lang w:val="en-GB"/>
        </w:rPr>
        <w:instrText xml:space="preserve"> SEQ Attēls \* ARABIC </w:instrText>
      </w:r>
      <w:r w:rsidR="00D64210" w:rsidRPr="007504E6">
        <w:rPr>
          <w:lang w:val="en-GB"/>
        </w:rPr>
        <w:fldChar w:fldCharType="separate"/>
      </w:r>
      <w:r w:rsidR="00D500F7">
        <w:rPr>
          <w:noProof/>
          <w:lang w:val="en-GB"/>
        </w:rPr>
        <w:t>2</w:t>
      </w:r>
      <w:r w:rsidR="00D64210" w:rsidRPr="007504E6">
        <w:rPr>
          <w:noProof/>
          <w:lang w:val="en-GB"/>
        </w:rPr>
        <w:fldChar w:fldCharType="end"/>
      </w:r>
      <w:r w:rsidR="001B0C98" w:rsidRPr="007504E6">
        <w:rPr>
          <w:lang w:val="en-GB"/>
        </w:rPr>
        <w:t xml:space="preserve">. </w:t>
      </w:r>
      <w:r w:rsidR="001E1F39" w:rsidRPr="007504E6">
        <w:rPr>
          <w:rFonts w:ascii="Times New Roman" w:hAnsi="Times New Roman" w:cs="Times New Roman"/>
          <w:lang w:val="en-GB"/>
        </w:rPr>
        <w:t>Forecasts of changes in the volume of construction output in 2021-2025 as a percentage of the previous year</w:t>
      </w:r>
      <w:r w:rsidR="00152E7F" w:rsidRPr="007504E6">
        <w:rPr>
          <w:rFonts w:ascii="Times New Roman" w:hAnsi="Times New Roman" w:cs="Times New Roman"/>
          <w:lang w:val="en-GB"/>
        </w:rPr>
        <w:t>.</w:t>
      </w:r>
    </w:p>
    <w:p w14:paraId="5A17301B" w14:textId="29A16762" w:rsidR="008B37FD" w:rsidRPr="007504E6" w:rsidRDefault="008B37FD" w:rsidP="008B37FD">
      <w:pPr>
        <w:spacing w:line="276" w:lineRule="auto"/>
        <w:ind w:firstLine="0"/>
        <w:rPr>
          <w:rFonts w:ascii="Times New Roman" w:hAnsi="Times New Roman" w:cs="Times New Roman"/>
          <w:lang w:val="en-GB"/>
        </w:rPr>
      </w:pPr>
      <w:r w:rsidRPr="007504E6">
        <w:rPr>
          <w:rFonts w:ascii="Times New Roman" w:hAnsi="Times New Roman" w:cs="Times New Roman"/>
          <w:lang w:val="en-GB"/>
        </w:rPr>
        <w:t>According to the methodology, both statistical and expert forecasts were calculated within the study. If in the results of previous years (2018, 2019, 2020) forecast research it was characteristic that statistical forecasts were more optimistic than expert forecasts, then in 2021 the opposite situation is observed in the Study. This can be partly explained by the information available to experts on the expected state and EU support for the sector, as well as the expectations of post-pandemic economic recovery. As a final forecast, the authors use a combined (expert-statistical) forecast, which is obtained as the average between the two forecasts mentioned above.</w:t>
      </w:r>
    </w:p>
    <w:p w14:paraId="3007D2B9" w14:textId="372BDEEC" w:rsidR="00B95497" w:rsidRPr="007504E6" w:rsidRDefault="00B95497" w:rsidP="008B37FD">
      <w:pPr>
        <w:spacing w:line="276" w:lineRule="auto"/>
        <w:ind w:firstLine="0"/>
        <w:rPr>
          <w:rFonts w:ascii="Times New Roman" w:hAnsi="Times New Roman" w:cs="Times New Roman"/>
          <w:lang w:val="en-GB"/>
        </w:rPr>
      </w:pPr>
    </w:p>
    <w:p w14:paraId="33335E98" w14:textId="77777777" w:rsidR="00B95497" w:rsidRPr="007504E6" w:rsidRDefault="00B95497" w:rsidP="00B95497">
      <w:pPr>
        <w:spacing w:line="276" w:lineRule="auto"/>
        <w:ind w:firstLine="0"/>
        <w:rPr>
          <w:rFonts w:ascii="Times New Roman" w:hAnsi="Times New Roman" w:cs="Times New Roman"/>
          <w:lang w:val="en-GB"/>
        </w:rPr>
      </w:pPr>
      <w:r w:rsidRPr="007504E6">
        <w:rPr>
          <w:rFonts w:ascii="Times New Roman" w:hAnsi="Times New Roman" w:cs="Times New Roman"/>
          <w:lang w:val="en-GB"/>
        </w:rPr>
        <w:t>The data available in the final stage of the study on the short-term development of the construction sector show a 12% decrease in construction output in the 1st quarter of 2021 and a 1% increase in the 2nd quarter. Such a development of the situation can be perceived as contradicting the experts' view of the development of the industry. However, researchers believe that there are two arguments that the indicators for the second half of 2021 could mean a generally positive output of the construction industry:</w:t>
      </w:r>
    </w:p>
    <w:p w14:paraId="54C0CDF3" w14:textId="77777777" w:rsidR="00B95497" w:rsidRPr="007504E6" w:rsidRDefault="00B95497" w:rsidP="00B95497">
      <w:pPr>
        <w:spacing w:line="276" w:lineRule="auto"/>
        <w:ind w:left="720" w:firstLine="0"/>
        <w:rPr>
          <w:rFonts w:ascii="Times New Roman" w:hAnsi="Times New Roman" w:cs="Times New Roman"/>
          <w:lang w:val="en-GB"/>
        </w:rPr>
      </w:pPr>
      <w:r w:rsidRPr="007504E6">
        <w:rPr>
          <w:rFonts w:ascii="Times New Roman" w:hAnsi="Times New Roman" w:cs="Times New Roman"/>
          <w:lang w:val="en-GB"/>
        </w:rPr>
        <w:t>1. In the construction sector in Latvia, the quarterly growth has historically been very inconsistent compared to the previous year, therefore it cannot be stated that a bad situation in the first half of the year would correlate with a bad situation in the second half;</w:t>
      </w:r>
    </w:p>
    <w:p w14:paraId="2913C3CD" w14:textId="24A5F898" w:rsidR="00B95497" w:rsidRPr="007504E6" w:rsidRDefault="00B95497" w:rsidP="00B95497">
      <w:pPr>
        <w:spacing w:line="276" w:lineRule="auto"/>
        <w:ind w:left="720" w:firstLine="0"/>
        <w:rPr>
          <w:rFonts w:ascii="Times New Roman" w:hAnsi="Times New Roman" w:cs="Times New Roman"/>
          <w:lang w:val="en-GB"/>
        </w:rPr>
      </w:pPr>
      <w:r w:rsidRPr="007504E6">
        <w:rPr>
          <w:rFonts w:ascii="Times New Roman" w:hAnsi="Times New Roman" w:cs="Times New Roman"/>
          <w:lang w:val="en-GB"/>
        </w:rPr>
        <w:t>2. Total GDP in the first half of 2021 shows a positive growth trend (10.3% year-on-year increase in the second quarter), which is likely to be reflected in the development of the construction sector, which delivers the final product with a longer time lag than other industries.</w:t>
      </w:r>
    </w:p>
    <w:p w14:paraId="0E3EA98D" w14:textId="77777777" w:rsidR="00B95497" w:rsidRPr="007504E6" w:rsidRDefault="00B95497" w:rsidP="00B95497">
      <w:pPr>
        <w:spacing w:line="276" w:lineRule="auto"/>
        <w:ind w:firstLine="0"/>
        <w:rPr>
          <w:rFonts w:ascii="Times New Roman" w:hAnsi="Times New Roman" w:cs="Times New Roman"/>
          <w:lang w:val="en-GB"/>
        </w:rPr>
      </w:pPr>
    </w:p>
    <w:p w14:paraId="0C83E2E2" w14:textId="10647933" w:rsidR="00234553" w:rsidRPr="007504E6" w:rsidRDefault="008B37FD" w:rsidP="008B37FD">
      <w:pPr>
        <w:spacing w:line="276" w:lineRule="auto"/>
        <w:ind w:firstLine="0"/>
        <w:rPr>
          <w:rFonts w:ascii="Times New Roman" w:hAnsi="Times New Roman" w:cs="Times New Roman"/>
          <w:lang w:val="en-GB"/>
        </w:rPr>
      </w:pPr>
      <w:r w:rsidRPr="007504E6">
        <w:rPr>
          <w:rFonts w:ascii="Times New Roman" w:hAnsi="Times New Roman" w:cs="Times New Roman"/>
          <w:lang w:val="en-GB"/>
        </w:rPr>
        <w:t>When forecasting changes in construction costs, there is a similar tendency that expert assessments are significantly higher than statistically obtained forecasts. There is also a very strong view that in 2021 a sharp increase in costs is expected. For all the next forecast years, cost increases are also projected to gradually decline until the 2025 forecast reaches the average of 2019 and 2020.</w:t>
      </w:r>
    </w:p>
    <w:p w14:paraId="17D15973" w14:textId="77777777" w:rsidR="008B37FD" w:rsidRPr="007504E6" w:rsidRDefault="008B37FD" w:rsidP="008B37FD">
      <w:pPr>
        <w:spacing w:line="276" w:lineRule="auto"/>
        <w:ind w:firstLine="0"/>
        <w:rPr>
          <w:rFonts w:ascii="Times New Roman" w:hAnsi="Times New Roman" w:cs="Times New Roman"/>
          <w:lang w:val="en-GB"/>
        </w:rPr>
      </w:pPr>
    </w:p>
    <w:p w14:paraId="1425C0F6" w14:textId="3E25F9C6" w:rsidR="00206E35" w:rsidRPr="007504E6" w:rsidRDefault="00057657" w:rsidP="00B9247E">
      <w:pPr>
        <w:spacing w:line="276" w:lineRule="auto"/>
        <w:ind w:firstLine="0"/>
        <w:rPr>
          <w:rFonts w:ascii="Times New Roman" w:hAnsi="Times New Roman" w:cs="Times New Roman"/>
          <w:lang w:val="en-GB"/>
        </w:rPr>
      </w:pPr>
      <w:r w:rsidRPr="007504E6">
        <w:rPr>
          <w:noProof/>
          <w:lang w:val="en-GB"/>
        </w:rPr>
        <w:drawing>
          <wp:inline distT="0" distB="0" distL="0" distR="0" wp14:anchorId="51EBE929" wp14:editId="0942AF6B">
            <wp:extent cx="5692140" cy="2529840"/>
            <wp:effectExtent l="0" t="0" r="3810" b="3810"/>
            <wp:docPr id="217" name="Chart 217">
              <a:extLst xmlns:a="http://schemas.openxmlformats.org/drawingml/2006/main">
                <a:ext uri="{FF2B5EF4-FFF2-40B4-BE49-F238E27FC236}">
                  <a16:creationId xmlns:a16="http://schemas.microsoft.com/office/drawing/2014/main" id="{67524EA3-BF33-41DA-93FC-93629834BF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bl>
      <w:tblPr>
        <w:tblW w:w="8273" w:type="dxa"/>
        <w:tblInd w:w="709" w:type="dxa"/>
        <w:tblLayout w:type="fixed"/>
        <w:tblLook w:val="04A0" w:firstRow="1" w:lastRow="0" w:firstColumn="1" w:lastColumn="0" w:noHBand="0" w:noVBand="1"/>
      </w:tblPr>
      <w:tblGrid>
        <w:gridCol w:w="2527"/>
        <w:gridCol w:w="1149"/>
        <w:gridCol w:w="1149"/>
        <w:gridCol w:w="1149"/>
        <w:gridCol w:w="1149"/>
        <w:gridCol w:w="1150"/>
      </w:tblGrid>
      <w:tr w:rsidR="006B1C8C" w:rsidRPr="007504E6" w14:paraId="7A145F2A" w14:textId="77777777" w:rsidTr="00632FE7">
        <w:trPr>
          <w:trHeight w:val="288"/>
        </w:trPr>
        <w:tc>
          <w:tcPr>
            <w:tcW w:w="2527" w:type="dxa"/>
            <w:shd w:val="clear" w:color="auto" w:fill="auto"/>
            <w:noWrap/>
            <w:vAlign w:val="bottom"/>
            <w:hideMark/>
          </w:tcPr>
          <w:p w14:paraId="6FE22AF6" w14:textId="77777777" w:rsidR="006B1C8C" w:rsidRPr="007504E6" w:rsidRDefault="006B1C8C" w:rsidP="00632FE7">
            <w:pPr>
              <w:spacing w:line="240" w:lineRule="auto"/>
              <w:ind w:firstLine="0"/>
              <w:jc w:val="left"/>
              <w:rPr>
                <w:rFonts w:ascii="Times New Roman" w:eastAsia="Times New Roman" w:hAnsi="Times New Roman" w:cs="Times New Roman"/>
                <w:color w:val="000000"/>
                <w:lang w:val="en-GB" w:eastAsia="lv-LV"/>
              </w:rPr>
            </w:pPr>
            <w:r w:rsidRPr="007504E6">
              <w:rPr>
                <w:rFonts w:ascii="Times New Roman" w:eastAsia="Times New Roman" w:hAnsi="Times New Roman" w:cs="Times New Roman"/>
                <w:color w:val="000000"/>
                <w:lang w:val="en-GB" w:eastAsia="lv-LV"/>
              </w:rPr>
              <w:t> </w:t>
            </w:r>
          </w:p>
        </w:tc>
        <w:tc>
          <w:tcPr>
            <w:tcW w:w="1149" w:type="dxa"/>
            <w:tcBorders>
              <w:bottom w:val="single" w:sz="4" w:space="0" w:color="808080" w:themeColor="background1" w:themeShade="80"/>
            </w:tcBorders>
            <w:shd w:val="clear" w:color="000000" w:fill="FFFFFF"/>
            <w:noWrap/>
            <w:vAlign w:val="center"/>
            <w:hideMark/>
          </w:tcPr>
          <w:p w14:paraId="52970A24" w14:textId="5EA0C64D" w:rsidR="006B1C8C" w:rsidRPr="007504E6" w:rsidRDefault="006B1C8C" w:rsidP="00632FE7">
            <w:pPr>
              <w:spacing w:line="240" w:lineRule="auto"/>
              <w:ind w:firstLine="0"/>
              <w:jc w:val="center"/>
              <w:rPr>
                <w:rFonts w:ascii="Times New Roman" w:eastAsia="Times New Roman" w:hAnsi="Times New Roman" w:cs="Times New Roman"/>
                <w:color w:val="000000"/>
                <w:sz w:val="20"/>
                <w:szCs w:val="20"/>
                <w:lang w:val="en-GB" w:eastAsia="lv-LV"/>
              </w:rPr>
            </w:pPr>
            <w:r w:rsidRPr="007504E6">
              <w:rPr>
                <w:rFonts w:ascii="Times New Roman" w:eastAsia="Times New Roman" w:hAnsi="Times New Roman" w:cs="Times New Roman"/>
                <w:color w:val="000000"/>
                <w:sz w:val="20"/>
                <w:szCs w:val="20"/>
                <w:lang w:val="en-GB" w:eastAsia="lv-LV"/>
              </w:rPr>
              <w:t>2021</w:t>
            </w:r>
          </w:p>
        </w:tc>
        <w:tc>
          <w:tcPr>
            <w:tcW w:w="1149" w:type="dxa"/>
            <w:tcBorders>
              <w:bottom w:val="single" w:sz="4" w:space="0" w:color="808080" w:themeColor="background1" w:themeShade="80"/>
            </w:tcBorders>
            <w:shd w:val="clear" w:color="000000" w:fill="FFFFFF"/>
            <w:noWrap/>
            <w:vAlign w:val="center"/>
            <w:hideMark/>
          </w:tcPr>
          <w:p w14:paraId="076CDAC7" w14:textId="58E46AB0" w:rsidR="006B1C8C" w:rsidRPr="007504E6" w:rsidRDefault="006B1C8C" w:rsidP="00632FE7">
            <w:pPr>
              <w:spacing w:line="240" w:lineRule="auto"/>
              <w:ind w:firstLine="0"/>
              <w:jc w:val="center"/>
              <w:rPr>
                <w:rFonts w:ascii="Times New Roman" w:eastAsia="Times New Roman" w:hAnsi="Times New Roman" w:cs="Times New Roman"/>
                <w:color w:val="000000"/>
                <w:sz w:val="20"/>
                <w:szCs w:val="20"/>
                <w:lang w:val="en-GB" w:eastAsia="lv-LV"/>
              </w:rPr>
            </w:pPr>
            <w:r w:rsidRPr="007504E6">
              <w:rPr>
                <w:rFonts w:ascii="Times New Roman" w:eastAsia="Times New Roman" w:hAnsi="Times New Roman" w:cs="Times New Roman"/>
                <w:color w:val="000000"/>
                <w:sz w:val="20"/>
                <w:szCs w:val="20"/>
                <w:lang w:val="en-GB" w:eastAsia="lv-LV"/>
              </w:rPr>
              <w:t>2022</w:t>
            </w:r>
          </w:p>
        </w:tc>
        <w:tc>
          <w:tcPr>
            <w:tcW w:w="1149" w:type="dxa"/>
            <w:tcBorders>
              <w:bottom w:val="single" w:sz="4" w:space="0" w:color="808080" w:themeColor="background1" w:themeShade="80"/>
            </w:tcBorders>
            <w:shd w:val="clear" w:color="000000" w:fill="FFFFFF"/>
            <w:noWrap/>
            <w:vAlign w:val="center"/>
            <w:hideMark/>
          </w:tcPr>
          <w:p w14:paraId="7611B3A5" w14:textId="4DDDBF4C" w:rsidR="006B1C8C" w:rsidRPr="007504E6" w:rsidRDefault="006B1C8C" w:rsidP="00632FE7">
            <w:pPr>
              <w:spacing w:line="240" w:lineRule="auto"/>
              <w:ind w:firstLine="0"/>
              <w:jc w:val="center"/>
              <w:rPr>
                <w:rFonts w:ascii="Times New Roman" w:eastAsia="Times New Roman" w:hAnsi="Times New Roman" w:cs="Times New Roman"/>
                <w:color w:val="000000"/>
                <w:sz w:val="20"/>
                <w:szCs w:val="20"/>
                <w:lang w:val="en-GB" w:eastAsia="lv-LV"/>
              </w:rPr>
            </w:pPr>
            <w:r w:rsidRPr="007504E6">
              <w:rPr>
                <w:rFonts w:ascii="Times New Roman" w:eastAsia="Times New Roman" w:hAnsi="Times New Roman" w:cs="Times New Roman"/>
                <w:color w:val="000000"/>
                <w:sz w:val="20"/>
                <w:szCs w:val="20"/>
                <w:lang w:val="en-GB" w:eastAsia="lv-LV"/>
              </w:rPr>
              <w:t>2023</w:t>
            </w:r>
          </w:p>
        </w:tc>
        <w:tc>
          <w:tcPr>
            <w:tcW w:w="1149" w:type="dxa"/>
            <w:tcBorders>
              <w:bottom w:val="single" w:sz="4" w:space="0" w:color="808080" w:themeColor="background1" w:themeShade="80"/>
            </w:tcBorders>
            <w:shd w:val="clear" w:color="000000" w:fill="FFFFFF"/>
            <w:noWrap/>
            <w:vAlign w:val="center"/>
            <w:hideMark/>
          </w:tcPr>
          <w:p w14:paraId="2025B95A" w14:textId="4F00ACE3" w:rsidR="006B1C8C" w:rsidRPr="007504E6" w:rsidRDefault="006B1C8C" w:rsidP="00632FE7">
            <w:pPr>
              <w:spacing w:line="240" w:lineRule="auto"/>
              <w:ind w:firstLine="0"/>
              <w:jc w:val="center"/>
              <w:rPr>
                <w:rFonts w:ascii="Times New Roman" w:eastAsia="Times New Roman" w:hAnsi="Times New Roman" w:cs="Times New Roman"/>
                <w:color w:val="000000"/>
                <w:sz w:val="20"/>
                <w:szCs w:val="20"/>
                <w:lang w:val="en-GB" w:eastAsia="lv-LV"/>
              </w:rPr>
            </w:pPr>
            <w:r w:rsidRPr="007504E6">
              <w:rPr>
                <w:rFonts w:ascii="Times New Roman" w:eastAsia="Times New Roman" w:hAnsi="Times New Roman" w:cs="Times New Roman"/>
                <w:color w:val="000000"/>
                <w:sz w:val="20"/>
                <w:szCs w:val="20"/>
                <w:lang w:val="en-GB" w:eastAsia="lv-LV"/>
              </w:rPr>
              <w:t>2024</w:t>
            </w:r>
          </w:p>
        </w:tc>
        <w:tc>
          <w:tcPr>
            <w:tcW w:w="1150" w:type="dxa"/>
            <w:tcBorders>
              <w:bottom w:val="single" w:sz="4" w:space="0" w:color="808080" w:themeColor="background1" w:themeShade="80"/>
            </w:tcBorders>
            <w:shd w:val="clear" w:color="000000" w:fill="FFFFFF"/>
            <w:noWrap/>
            <w:vAlign w:val="center"/>
            <w:hideMark/>
          </w:tcPr>
          <w:p w14:paraId="624487A3" w14:textId="67F557FB" w:rsidR="006B1C8C" w:rsidRPr="007504E6" w:rsidRDefault="006B1C8C" w:rsidP="00632FE7">
            <w:pPr>
              <w:spacing w:line="240" w:lineRule="auto"/>
              <w:ind w:firstLine="0"/>
              <w:jc w:val="center"/>
              <w:rPr>
                <w:rFonts w:ascii="Times New Roman" w:eastAsia="Times New Roman" w:hAnsi="Times New Roman" w:cs="Times New Roman"/>
                <w:color w:val="000000"/>
                <w:sz w:val="20"/>
                <w:szCs w:val="20"/>
                <w:lang w:val="en-GB" w:eastAsia="lv-LV"/>
              </w:rPr>
            </w:pPr>
            <w:r w:rsidRPr="007504E6">
              <w:rPr>
                <w:rFonts w:ascii="Times New Roman" w:eastAsia="Times New Roman" w:hAnsi="Times New Roman" w:cs="Times New Roman"/>
                <w:color w:val="000000"/>
                <w:sz w:val="20"/>
                <w:szCs w:val="20"/>
                <w:lang w:val="en-GB" w:eastAsia="lv-LV"/>
              </w:rPr>
              <w:t>2025</w:t>
            </w:r>
          </w:p>
        </w:tc>
      </w:tr>
      <w:tr w:rsidR="00D35766" w:rsidRPr="007504E6" w14:paraId="06AB8A60" w14:textId="77777777" w:rsidTr="00404E12">
        <w:trPr>
          <w:trHeight w:val="288"/>
        </w:trPr>
        <w:tc>
          <w:tcPr>
            <w:tcW w:w="2527" w:type="dxa"/>
            <w:tcBorders>
              <w:right w:val="single" w:sz="4" w:space="0" w:color="808080" w:themeColor="background1" w:themeShade="80"/>
            </w:tcBorders>
            <w:shd w:val="clear" w:color="000000" w:fill="FFFFFF"/>
            <w:noWrap/>
            <w:vAlign w:val="bottom"/>
            <w:hideMark/>
          </w:tcPr>
          <w:p w14:paraId="7A93BE1F" w14:textId="726FA256" w:rsidR="00D35766" w:rsidRPr="007504E6" w:rsidRDefault="00D35766" w:rsidP="00D35766">
            <w:pPr>
              <w:spacing w:line="240" w:lineRule="auto"/>
              <w:ind w:firstLine="0"/>
              <w:jc w:val="left"/>
              <w:rPr>
                <w:rFonts w:ascii="Times New Roman" w:eastAsia="Times New Roman" w:hAnsi="Times New Roman" w:cs="Times New Roman"/>
                <w:color w:val="000000"/>
                <w:sz w:val="18"/>
                <w:szCs w:val="18"/>
                <w:lang w:val="en-GB" w:eastAsia="lv-LV"/>
              </w:rPr>
            </w:pPr>
            <w:r w:rsidRPr="007504E6">
              <w:rPr>
                <w:sz w:val="18"/>
                <w:szCs w:val="18"/>
                <w:lang w:val="en-GB"/>
              </w:rPr>
              <w:t>Statistical forecast</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10F1B2CF" w14:textId="6D1B944C" w:rsidR="00D35766" w:rsidRPr="007504E6" w:rsidRDefault="00D35766" w:rsidP="00D35766">
            <w:pPr>
              <w:spacing w:line="240" w:lineRule="auto"/>
              <w:ind w:firstLine="0"/>
              <w:jc w:val="center"/>
              <w:rPr>
                <w:rFonts w:ascii="Times New Roman" w:eastAsia="Times New Roman" w:hAnsi="Times New Roman" w:cs="Times New Roman"/>
                <w:color w:val="000000"/>
                <w:sz w:val="18"/>
                <w:szCs w:val="18"/>
                <w:lang w:val="en-GB" w:eastAsia="lv-LV"/>
              </w:rPr>
            </w:pPr>
            <w:r w:rsidRPr="007504E6">
              <w:rPr>
                <w:sz w:val="18"/>
                <w:szCs w:val="18"/>
                <w:lang w:val="en-GB"/>
              </w:rPr>
              <w:t>1.8</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2365794E" w14:textId="02636262" w:rsidR="00D35766" w:rsidRPr="007504E6" w:rsidRDefault="00D35766" w:rsidP="00D35766">
            <w:pPr>
              <w:spacing w:line="240" w:lineRule="auto"/>
              <w:ind w:firstLine="0"/>
              <w:jc w:val="center"/>
              <w:rPr>
                <w:rFonts w:ascii="Times New Roman" w:eastAsia="Times New Roman" w:hAnsi="Times New Roman" w:cs="Times New Roman"/>
                <w:color w:val="000000"/>
                <w:sz w:val="18"/>
                <w:szCs w:val="18"/>
                <w:lang w:val="en-GB" w:eastAsia="lv-LV"/>
              </w:rPr>
            </w:pPr>
            <w:r w:rsidRPr="007504E6">
              <w:rPr>
                <w:sz w:val="18"/>
                <w:szCs w:val="18"/>
                <w:lang w:val="en-GB"/>
              </w:rPr>
              <w:t>1.7</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06EB7178" w14:textId="61C35DB0" w:rsidR="00D35766" w:rsidRPr="007504E6" w:rsidRDefault="00D35766" w:rsidP="00D35766">
            <w:pPr>
              <w:spacing w:line="240" w:lineRule="auto"/>
              <w:ind w:firstLine="0"/>
              <w:jc w:val="center"/>
              <w:rPr>
                <w:rFonts w:ascii="Times New Roman" w:eastAsia="Times New Roman" w:hAnsi="Times New Roman" w:cs="Times New Roman"/>
                <w:color w:val="000000"/>
                <w:sz w:val="18"/>
                <w:szCs w:val="18"/>
                <w:lang w:val="en-GB" w:eastAsia="lv-LV"/>
              </w:rPr>
            </w:pPr>
            <w:r w:rsidRPr="007504E6">
              <w:rPr>
                <w:sz w:val="18"/>
                <w:szCs w:val="18"/>
                <w:lang w:val="en-GB"/>
              </w:rPr>
              <w:t>1.7</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116CAAB0" w14:textId="2FF82F69" w:rsidR="00D35766" w:rsidRPr="007504E6" w:rsidRDefault="00D35766" w:rsidP="00D35766">
            <w:pPr>
              <w:spacing w:line="240" w:lineRule="auto"/>
              <w:ind w:firstLine="0"/>
              <w:jc w:val="center"/>
              <w:rPr>
                <w:rFonts w:ascii="Times New Roman" w:eastAsia="Times New Roman" w:hAnsi="Times New Roman" w:cs="Times New Roman"/>
                <w:color w:val="000000"/>
                <w:sz w:val="18"/>
                <w:szCs w:val="18"/>
                <w:lang w:val="en-GB" w:eastAsia="lv-LV"/>
              </w:rPr>
            </w:pPr>
            <w:r w:rsidRPr="007504E6">
              <w:rPr>
                <w:sz w:val="18"/>
                <w:szCs w:val="18"/>
                <w:lang w:val="en-GB"/>
              </w:rPr>
              <w:t>1.6</w:t>
            </w:r>
          </w:p>
        </w:tc>
        <w:tc>
          <w:tcPr>
            <w:tcW w:w="1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10DCEE38" w14:textId="24548A7C" w:rsidR="00D35766" w:rsidRPr="007504E6" w:rsidRDefault="00D35766" w:rsidP="00D35766">
            <w:pPr>
              <w:spacing w:line="240" w:lineRule="auto"/>
              <w:ind w:firstLine="0"/>
              <w:jc w:val="center"/>
              <w:rPr>
                <w:rFonts w:ascii="Times New Roman" w:eastAsia="Times New Roman" w:hAnsi="Times New Roman" w:cs="Times New Roman"/>
                <w:color w:val="000000"/>
                <w:sz w:val="18"/>
                <w:szCs w:val="18"/>
                <w:lang w:val="en-GB" w:eastAsia="lv-LV"/>
              </w:rPr>
            </w:pPr>
            <w:r w:rsidRPr="007504E6">
              <w:rPr>
                <w:sz w:val="18"/>
                <w:szCs w:val="18"/>
                <w:lang w:val="en-GB"/>
              </w:rPr>
              <w:t>1.6</w:t>
            </w:r>
          </w:p>
        </w:tc>
      </w:tr>
      <w:tr w:rsidR="00D35766" w:rsidRPr="007504E6" w14:paraId="6B966289" w14:textId="77777777" w:rsidTr="00404E12">
        <w:trPr>
          <w:trHeight w:val="288"/>
        </w:trPr>
        <w:tc>
          <w:tcPr>
            <w:tcW w:w="2527" w:type="dxa"/>
            <w:tcBorders>
              <w:right w:val="single" w:sz="4" w:space="0" w:color="808080" w:themeColor="background1" w:themeShade="80"/>
            </w:tcBorders>
            <w:shd w:val="clear" w:color="000000" w:fill="FFFFFF"/>
            <w:noWrap/>
            <w:vAlign w:val="bottom"/>
            <w:hideMark/>
          </w:tcPr>
          <w:p w14:paraId="7DE848E8" w14:textId="03CEC18F" w:rsidR="00D35766" w:rsidRPr="007504E6" w:rsidRDefault="00D35766" w:rsidP="00D35766">
            <w:pPr>
              <w:spacing w:line="240" w:lineRule="auto"/>
              <w:ind w:firstLine="0"/>
              <w:jc w:val="left"/>
              <w:rPr>
                <w:rFonts w:ascii="Times New Roman" w:eastAsia="Times New Roman" w:hAnsi="Times New Roman" w:cs="Times New Roman"/>
                <w:b/>
                <w:bCs/>
                <w:color w:val="000000"/>
                <w:sz w:val="20"/>
                <w:szCs w:val="20"/>
                <w:lang w:val="en-GB" w:eastAsia="lv-LV"/>
              </w:rPr>
            </w:pPr>
            <w:r w:rsidRPr="007504E6">
              <w:rPr>
                <w:b/>
                <w:bCs/>
                <w:sz w:val="20"/>
                <w:szCs w:val="20"/>
                <w:lang w:val="en-GB"/>
              </w:rPr>
              <w:t>Combined forecast</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5341E9C9" w14:textId="26DCFD0D" w:rsidR="00D35766" w:rsidRPr="007504E6" w:rsidRDefault="00D35766" w:rsidP="00D35766">
            <w:pPr>
              <w:spacing w:line="240" w:lineRule="auto"/>
              <w:ind w:firstLine="0"/>
              <w:jc w:val="center"/>
              <w:rPr>
                <w:rFonts w:ascii="Times New Roman" w:eastAsia="Times New Roman" w:hAnsi="Times New Roman" w:cs="Times New Roman"/>
                <w:b/>
                <w:bCs/>
                <w:color w:val="000000"/>
                <w:sz w:val="20"/>
                <w:szCs w:val="20"/>
                <w:lang w:val="en-GB" w:eastAsia="lv-LV"/>
              </w:rPr>
            </w:pPr>
            <w:r w:rsidRPr="007504E6">
              <w:rPr>
                <w:b/>
                <w:bCs/>
                <w:sz w:val="20"/>
                <w:szCs w:val="20"/>
                <w:lang w:val="en-GB"/>
              </w:rPr>
              <w:t>6.6</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22B2A774" w14:textId="09E062FF" w:rsidR="00D35766" w:rsidRPr="007504E6" w:rsidRDefault="00D35766" w:rsidP="00D35766">
            <w:pPr>
              <w:spacing w:line="240" w:lineRule="auto"/>
              <w:ind w:firstLine="0"/>
              <w:jc w:val="center"/>
              <w:rPr>
                <w:rFonts w:ascii="Times New Roman" w:eastAsia="Times New Roman" w:hAnsi="Times New Roman" w:cs="Times New Roman"/>
                <w:b/>
                <w:bCs/>
                <w:color w:val="000000"/>
                <w:sz w:val="20"/>
                <w:szCs w:val="20"/>
                <w:lang w:val="en-GB" w:eastAsia="lv-LV"/>
              </w:rPr>
            </w:pPr>
            <w:r w:rsidRPr="007504E6">
              <w:rPr>
                <w:b/>
                <w:bCs/>
                <w:sz w:val="20"/>
                <w:szCs w:val="20"/>
                <w:lang w:val="en-GB"/>
              </w:rPr>
              <w:t>5.6</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3ACEC20A" w14:textId="11DBE955" w:rsidR="00D35766" w:rsidRPr="007504E6" w:rsidRDefault="00D35766" w:rsidP="00D35766">
            <w:pPr>
              <w:spacing w:line="240" w:lineRule="auto"/>
              <w:ind w:firstLine="0"/>
              <w:jc w:val="center"/>
              <w:rPr>
                <w:rFonts w:ascii="Times New Roman" w:eastAsia="Times New Roman" w:hAnsi="Times New Roman" w:cs="Times New Roman"/>
                <w:b/>
                <w:bCs/>
                <w:color w:val="000000"/>
                <w:sz w:val="20"/>
                <w:szCs w:val="20"/>
                <w:lang w:val="en-GB" w:eastAsia="lv-LV"/>
              </w:rPr>
            </w:pPr>
            <w:r w:rsidRPr="007504E6">
              <w:rPr>
                <w:b/>
                <w:bCs/>
                <w:sz w:val="20"/>
                <w:szCs w:val="20"/>
                <w:lang w:val="en-GB"/>
              </w:rPr>
              <w:t>3.7</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28F6DC9D" w14:textId="72F49518" w:rsidR="00D35766" w:rsidRPr="007504E6" w:rsidRDefault="00D35766" w:rsidP="00D35766">
            <w:pPr>
              <w:spacing w:line="240" w:lineRule="auto"/>
              <w:ind w:firstLine="0"/>
              <w:jc w:val="center"/>
              <w:rPr>
                <w:rFonts w:ascii="Times New Roman" w:eastAsia="Times New Roman" w:hAnsi="Times New Roman" w:cs="Times New Roman"/>
                <w:b/>
                <w:bCs/>
                <w:color w:val="000000"/>
                <w:sz w:val="20"/>
                <w:szCs w:val="20"/>
                <w:lang w:val="en-GB" w:eastAsia="lv-LV"/>
              </w:rPr>
            </w:pPr>
            <w:r w:rsidRPr="007504E6">
              <w:rPr>
                <w:b/>
                <w:bCs/>
                <w:sz w:val="20"/>
                <w:szCs w:val="20"/>
                <w:lang w:val="en-GB"/>
              </w:rPr>
              <w:t>3.5</w:t>
            </w:r>
          </w:p>
        </w:tc>
        <w:tc>
          <w:tcPr>
            <w:tcW w:w="1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217A4ADA" w14:textId="638F9E8C" w:rsidR="00D35766" w:rsidRPr="007504E6" w:rsidRDefault="00D35766" w:rsidP="00D35766">
            <w:pPr>
              <w:spacing w:line="240" w:lineRule="auto"/>
              <w:ind w:firstLine="0"/>
              <w:jc w:val="center"/>
              <w:rPr>
                <w:rFonts w:ascii="Times New Roman" w:eastAsia="Times New Roman" w:hAnsi="Times New Roman" w:cs="Times New Roman"/>
                <w:b/>
                <w:bCs/>
                <w:color w:val="000000"/>
                <w:sz w:val="20"/>
                <w:szCs w:val="20"/>
                <w:lang w:val="en-GB" w:eastAsia="lv-LV"/>
              </w:rPr>
            </w:pPr>
            <w:r w:rsidRPr="007504E6">
              <w:rPr>
                <w:b/>
                <w:bCs/>
                <w:sz w:val="20"/>
                <w:szCs w:val="20"/>
                <w:lang w:val="en-GB"/>
              </w:rPr>
              <w:t>2.6</w:t>
            </w:r>
          </w:p>
        </w:tc>
      </w:tr>
      <w:tr w:rsidR="00D35766" w:rsidRPr="007504E6" w14:paraId="2D3F2721" w14:textId="77777777" w:rsidTr="00404E12">
        <w:trPr>
          <w:trHeight w:val="288"/>
        </w:trPr>
        <w:tc>
          <w:tcPr>
            <w:tcW w:w="2527" w:type="dxa"/>
            <w:tcBorders>
              <w:right w:val="single" w:sz="4" w:space="0" w:color="808080" w:themeColor="background1" w:themeShade="80"/>
            </w:tcBorders>
            <w:shd w:val="clear" w:color="000000" w:fill="FFFFFF"/>
            <w:noWrap/>
            <w:vAlign w:val="bottom"/>
            <w:hideMark/>
          </w:tcPr>
          <w:p w14:paraId="034F1DB4" w14:textId="16BF183D" w:rsidR="00D35766" w:rsidRPr="007504E6" w:rsidRDefault="00D35766" w:rsidP="00D35766">
            <w:pPr>
              <w:spacing w:line="240" w:lineRule="auto"/>
              <w:ind w:firstLine="0"/>
              <w:jc w:val="left"/>
              <w:rPr>
                <w:rFonts w:ascii="Times New Roman" w:eastAsia="Times New Roman" w:hAnsi="Times New Roman" w:cs="Times New Roman"/>
                <w:color w:val="000000"/>
                <w:sz w:val="18"/>
                <w:szCs w:val="18"/>
                <w:lang w:val="en-GB" w:eastAsia="lv-LV"/>
              </w:rPr>
            </w:pPr>
            <w:r w:rsidRPr="007504E6">
              <w:rPr>
                <w:sz w:val="18"/>
                <w:szCs w:val="18"/>
                <w:lang w:val="en-GB"/>
              </w:rPr>
              <w:t>Expert forecast</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0D3346A7" w14:textId="09588B09" w:rsidR="00D35766" w:rsidRPr="007504E6" w:rsidRDefault="00D35766" w:rsidP="00D35766">
            <w:pPr>
              <w:spacing w:line="240" w:lineRule="auto"/>
              <w:ind w:firstLine="0"/>
              <w:jc w:val="center"/>
              <w:rPr>
                <w:rFonts w:ascii="Times New Roman" w:eastAsia="Times New Roman" w:hAnsi="Times New Roman" w:cs="Times New Roman"/>
                <w:color w:val="000000"/>
                <w:sz w:val="18"/>
                <w:szCs w:val="18"/>
                <w:lang w:val="en-GB" w:eastAsia="lv-LV"/>
              </w:rPr>
            </w:pPr>
            <w:r w:rsidRPr="007504E6">
              <w:rPr>
                <w:sz w:val="18"/>
                <w:szCs w:val="18"/>
                <w:lang w:val="en-GB"/>
              </w:rPr>
              <w:t>11.4</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032A3A5C" w14:textId="70E1FC87" w:rsidR="00D35766" w:rsidRPr="007504E6" w:rsidRDefault="00D35766" w:rsidP="00D35766">
            <w:pPr>
              <w:spacing w:line="240" w:lineRule="auto"/>
              <w:ind w:firstLine="0"/>
              <w:jc w:val="center"/>
              <w:rPr>
                <w:rFonts w:ascii="Times New Roman" w:eastAsia="Times New Roman" w:hAnsi="Times New Roman" w:cs="Times New Roman"/>
                <w:color w:val="000000"/>
                <w:sz w:val="18"/>
                <w:szCs w:val="18"/>
                <w:lang w:val="en-GB" w:eastAsia="lv-LV"/>
              </w:rPr>
            </w:pPr>
            <w:r w:rsidRPr="007504E6">
              <w:rPr>
                <w:sz w:val="18"/>
                <w:szCs w:val="18"/>
                <w:lang w:val="en-GB"/>
              </w:rPr>
              <w:t>9.5</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060D7CAF" w14:textId="600F7CF2" w:rsidR="00D35766" w:rsidRPr="007504E6" w:rsidRDefault="00D35766" w:rsidP="00D35766">
            <w:pPr>
              <w:spacing w:line="240" w:lineRule="auto"/>
              <w:ind w:firstLine="0"/>
              <w:jc w:val="center"/>
              <w:rPr>
                <w:rFonts w:ascii="Times New Roman" w:eastAsia="Times New Roman" w:hAnsi="Times New Roman" w:cs="Times New Roman"/>
                <w:color w:val="000000"/>
                <w:sz w:val="18"/>
                <w:szCs w:val="18"/>
                <w:lang w:val="en-GB" w:eastAsia="lv-LV"/>
              </w:rPr>
            </w:pPr>
            <w:r w:rsidRPr="007504E6">
              <w:rPr>
                <w:sz w:val="18"/>
                <w:szCs w:val="18"/>
                <w:lang w:val="en-GB"/>
              </w:rPr>
              <w:t>5.7</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4E7502AC" w14:textId="29730FB4" w:rsidR="00D35766" w:rsidRPr="007504E6" w:rsidRDefault="00D35766" w:rsidP="00D35766">
            <w:pPr>
              <w:spacing w:line="240" w:lineRule="auto"/>
              <w:ind w:firstLine="0"/>
              <w:jc w:val="center"/>
              <w:rPr>
                <w:rFonts w:ascii="Times New Roman" w:eastAsia="Times New Roman" w:hAnsi="Times New Roman" w:cs="Times New Roman"/>
                <w:color w:val="000000"/>
                <w:sz w:val="18"/>
                <w:szCs w:val="18"/>
                <w:lang w:val="en-GB" w:eastAsia="lv-LV"/>
              </w:rPr>
            </w:pPr>
            <w:r w:rsidRPr="007504E6">
              <w:rPr>
                <w:sz w:val="18"/>
                <w:szCs w:val="18"/>
                <w:lang w:val="en-GB"/>
              </w:rPr>
              <w:t>5.3</w:t>
            </w:r>
          </w:p>
        </w:tc>
        <w:tc>
          <w:tcPr>
            <w:tcW w:w="1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79F453C8" w14:textId="0DBC9477" w:rsidR="00D35766" w:rsidRPr="007504E6" w:rsidRDefault="00D35766" w:rsidP="00D35766">
            <w:pPr>
              <w:spacing w:line="240" w:lineRule="auto"/>
              <w:ind w:firstLine="0"/>
              <w:jc w:val="center"/>
              <w:rPr>
                <w:rFonts w:ascii="Times New Roman" w:eastAsia="Times New Roman" w:hAnsi="Times New Roman" w:cs="Times New Roman"/>
                <w:color w:val="000000"/>
                <w:sz w:val="18"/>
                <w:szCs w:val="18"/>
                <w:lang w:val="en-GB" w:eastAsia="lv-LV"/>
              </w:rPr>
            </w:pPr>
            <w:r w:rsidRPr="007504E6">
              <w:rPr>
                <w:sz w:val="18"/>
                <w:szCs w:val="18"/>
                <w:lang w:val="en-GB"/>
              </w:rPr>
              <w:t>3.6</w:t>
            </w:r>
          </w:p>
        </w:tc>
      </w:tr>
    </w:tbl>
    <w:p w14:paraId="344FAE65" w14:textId="77777777" w:rsidR="006B1C8C" w:rsidRPr="007504E6" w:rsidRDefault="006B1C8C" w:rsidP="00B9247E">
      <w:pPr>
        <w:spacing w:line="276" w:lineRule="auto"/>
        <w:ind w:firstLine="0"/>
        <w:rPr>
          <w:rFonts w:ascii="Times New Roman" w:hAnsi="Times New Roman" w:cs="Times New Roman"/>
          <w:lang w:val="en-GB"/>
        </w:rPr>
      </w:pPr>
    </w:p>
    <w:p w14:paraId="49485775" w14:textId="67805826" w:rsidR="00861A0D" w:rsidRPr="007504E6" w:rsidRDefault="00D35766" w:rsidP="005F622A">
      <w:pPr>
        <w:pStyle w:val="Parakstszemobjekta"/>
        <w:jc w:val="center"/>
        <w:rPr>
          <w:rFonts w:ascii="Times New Roman" w:hAnsi="Times New Roman" w:cs="Times New Roman"/>
          <w:lang w:val="en-GB"/>
        </w:rPr>
      </w:pPr>
      <w:r w:rsidRPr="007504E6">
        <w:rPr>
          <w:lang w:val="en-GB"/>
        </w:rPr>
        <w:t>Fig</w:t>
      </w:r>
      <w:r w:rsidR="001B0C98" w:rsidRPr="007504E6">
        <w:rPr>
          <w:lang w:val="en-GB"/>
        </w:rPr>
        <w:t xml:space="preserve"> </w:t>
      </w:r>
      <w:r w:rsidR="00D64210" w:rsidRPr="007504E6">
        <w:rPr>
          <w:lang w:val="en-GB"/>
        </w:rPr>
        <w:fldChar w:fldCharType="begin"/>
      </w:r>
      <w:r w:rsidR="00D64210" w:rsidRPr="007504E6">
        <w:rPr>
          <w:lang w:val="en-GB"/>
        </w:rPr>
        <w:instrText xml:space="preserve"> SEQ Attēls \* ARABIC </w:instrText>
      </w:r>
      <w:r w:rsidR="00D64210" w:rsidRPr="007504E6">
        <w:rPr>
          <w:lang w:val="en-GB"/>
        </w:rPr>
        <w:fldChar w:fldCharType="separate"/>
      </w:r>
      <w:r w:rsidR="00D500F7">
        <w:rPr>
          <w:noProof/>
          <w:lang w:val="en-GB"/>
        </w:rPr>
        <w:t>3</w:t>
      </w:r>
      <w:r w:rsidR="00D64210" w:rsidRPr="007504E6">
        <w:rPr>
          <w:noProof/>
          <w:lang w:val="en-GB"/>
        </w:rPr>
        <w:fldChar w:fldCharType="end"/>
      </w:r>
      <w:r w:rsidR="001B0C98" w:rsidRPr="007504E6">
        <w:rPr>
          <w:lang w:val="en-GB"/>
        </w:rPr>
        <w:t xml:space="preserve">. </w:t>
      </w:r>
      <w:r w:rsidR="004E20E8" w:rsidRPr="007504E6">
        <w:rPr>
          <w:rFonts w:ascii="Times New Roman" w:hAnsi="Times New Roman" w:cs="Times New Roman"/>
          <w:lang w:val="en-GB"/>
        </w:rPr>
        <w:t>Construction cost change forecasts for 2021-2025. as a percentage of the previous period</w:t>
      </w:r>
      <w:r w:rsidR="00B9247E" w:rsidRPr="007504E6">
        <w:rPr>
          <w:rFonts w:ascii="Times New Roman" w:hAnsi="Times New Roman" w:cs="Times New Roman"/>
          <w:lang w:val="en-GB"/>
        </w:rPr>
        <w:t>.</w:t>
      </w:r>
    </w:p>
    <w:p w14:paraId="4C3D00AF" w14:textId="77777777" w:rsidR="00D318B2" w:rsidRPr="007504E6" w:rsidRDefault="00D318B2" w:rsidP="00D318B2">
      <w:pPr>
        <w:rPr>
          <w:rFonts w:ascii="Times New Roman" w:hAnsi="Times New Roman" w:cs="Times New Roman"/>
          <w:lang w:val="en-GB"/>
        </w:rPr>
      </w:pPr>
    </w:p>
    <w:p w14:paraId="379495C5" w14:textId="433F4460" w:rsidR="0070136B" w:rsidRDefault="004E20E8" w:rsidP="00234553">
      <w:pPr>
        <w:spacing w:line="276" w:lineRule="auto"/>
        <w:ind w:firstLine="0"/>
        <w:rPr>
          <w:rFonts w:ascii="Times New Roman" w:hAnsi="Times New Roman" w:cs="Times New Roman"/>
          <w:lang w:val="en-GB"/>
        </w:rPr>
      </w:pPr>
      <w:r w:rsidRPr="007504E6">
        <w:rPr>
          <w:rFonts w:ascii="Times New Roman" w:hAnsi="Times New Roman" w:cs="Times New Roman"/>
          <w:lang w:val="en-GB"/>
        </w:rPr>
        <w:t>Some expert estimates predict a relatively rapid jump in terms of costs, but, similar to the accepted method for forecasting the volume of construction output, a combined (expert-statistical) forecast is also used here, which provides a more moderate forecast. In previous studies, the combined prognosis has proven to be more reliable</w:t>
      </w:r>
      <w:r w:rsidR="001D19D1" w:rsidRPr="007504E6">
        <w:rPr>
          <w:rFonts w:ascii="Times New Roman" w:hAnsi="Times New Roman" w:cs="Times New Roman"/>
          <w:lang w:val="en-GB"/>
        </w:rPr>
        <w:t xml:space="preserve">. </w:t>
      </w:r>
    </w:p>
    <w:p w14:paraId="6D2EDCA1" w14:textId="39D310D0" w:rsidR="006B459B" w:rsidRDefault="006B459B" w:rsidP="00234553">
      <w:pPr>
        <w:spacing w:line="276" w:lineRule="auto"/>
        <w:ind w:firstLine="0"/>
        <w:rPr>
          <w:rFonts w:ascii="Times New Roman" w:hAnsi="Times New Roman" w:cs="Times New Roman"/>
          <w:lang w:val="en-GB"/>
        </w:rPr>
      </w:pPr>
    </w:p>
    <w:p w14:paraId="7138CD02" w14:textId="2B1DB093" w:rsidR="006B459B" w:rsidRDefault="006B459B" w:rsidP="00234553">
      <w:pPr>
        <w:spacing w:line="276" w:lineRule="auto"/>
        <w:ind w:firstLine="0"/>
        <w:rPr>
          <w:rFonts w:ascii="Times New Roman" w:hAnsi="Times New Roman" w:cs="Times New Roman"/>
          <w:lang w:val="en-GB"/>
        </w:rPr>
      </w:pPr>
    </w:p>
    <w:p w14:paraId="2D0BD224" w14:textId="398987A5" w:rsidR="006B459B" w:rsidRDefault="006B459B" w:rsidP="00234553">
      <w:pPr>
        <w:spacing w:line="276" w:lineRule="auto"/>
        <w:ind w:firstLine="0"/>
        <w:rPr>
          <w:rFonts w:ascii="Times New Roman" w:hAnsi="Times New Roman" w:cs="Times New Roman"/>
          <w:lang w:val="en-GB"/>
        </w:rPr>
      </w:pPr>
    </w:p>
    <w:p w14:paraId="6C25933D" w14:textId="77777777" w:rsidR="006B459B" w:rsidRPr="007504E6" w:rsidRDefault="006B459B" w:rsidP="00234553">
      <w:pPr>
        <w:spacing w:line="276" w:lineRule="auto"/>
        <w:ind w:firstLine="0"/>
        <w:rPr>
          <w:rFonts w:ascii="Times New Roman" w:hAnsi="Times New Roman" w:cs="Times New Roman"/>
          <w:lang w:val="en-GB"/>
        </w:rPr>
      </w:pPr>
    </w:p>
    <w:p w14:paraId="2527A725" w14:textId="7120BF8E" w:rsidR="005F622A" w:rsidRPr="007504E6" w:rsidRDefault="004E20E8" w:rsidP="005F622A">
      <w:pPr>
        <w:pStyle w:val="Parakstszemobjekta"/>
        <w:spacing w:after="0"/>
        <w:jc w:val="right"/>
        <w:rPr>
          <w:rFonts w:ascii="Times New Roman" w:hAnsi="Times New Roman" w:cs="Times New Roman"/>
          <w:lang w:val="en-GB"/>
        </w:rPr>
      </w:pPr>
      <w:r w:rsidRPr="007504E6">
        <w:rPr>
          <w:lang w:val="en-GB"/>
        </w:rPr>
        <w:t>Table</w:t>
      </w:r>
      <w:r w:rsidR="001B0C98" w:rsidRPr="007504E6">
        <w:rPr>
          <w:lang w:val="en-GB"/>
        </w:rPr>
        <w:t xml:space="preserve">  </w:t>
      </w:r>
      <w:r w:rsidR="00D64210" w:rsidRPr="007504E6">
        <w:rPr>
          <w:lang w:val="en-GB"/>
        </w:rPr>
        <w:fldChar w:fldCharType="begin"/>
      </w:r>
      <w:r w:rsidR="00D64210" w:rsidRPr="007504E6">
        <w:rPr>
          <w:lang w:val="en-GB"/>
        </w:rPr>
        <w:instrText xml:space="preserve"> SEQ Tab._ \* ARABIC </w:instrText>
      </w:r>
      <w:r w:rsidR="00D64210" w:rsidRPr="007504E6">
        <w:rPr>
          <w:lang w:val="en-GB"/>
        </w:rPr>
        <w:fldChar w:fldCharType="separate"/>
      </w:r>
      <w:r w:rsidR="00D500F7">
        <w:rPr>
          <w:noProof/>
          <w:lang w:val="en-GB"/>
        </w:rPr>
        <w:t>6</w:t>
      </w:r>
      <w:r w:rsidR="00D64210" w:rsidRPr="007504E6">
        <w:rPr>
          <w:noProof/>
          <w:lang w:val="en-GB"/>
        </w:rPr>
        <w:fldChar w:fldCharType="end"/>
      </w:r>
      <w:r w:rsidR="001B0C98" w:rsidRPr="007504E6">
        <w:rPr>
          <w:lang w:val="en-GB"/>
        </w:rPr>
        <w:t>.</w:t>
      </w:r>
      <w:r w:rsidR="00F92935" w:rsidRPr="007504E6">
        <w:rPr>
          <w:rFonts w:ascii="Times New Roman" w:hAnsi="Times New Roman" w:cs="Times New Roman"/>
          <w:lang w:val="en-GB"/>
        </w:rPr>
        <w:t xml:space="preserve"> </w:t>
      </w:r>
    </w:p>
    <w:p w14:paraId="4345EE3B" w14:textId="5D84D73C" w:rsidR="00F92935" w:rsidRPr="007504E6" w:rsidRDefault="004E20E8" w:rsidP="005F622A">
      <w:pPr>
        <w:pStyle w:val="Parakstszemobjekta"/>
        <w:spacing w:after="0"/>
        <w:jc w:val="right"/>
        <w:rPr>
          <w:rFonts w:ascii="Times New Roman" w:hAnsi="Times New Roman" w:cs="Times New Roman"/>
          <w:lang w:val="en-GB"/>
        </w:rPr>
      </w:pPr>
      <w:r w:rsidRPr="007504E6">
        <w:rPr>
          <w:rFonts w:ascii="Times New Roman" w:hAnsi="Times New Roman" w:cs="Times New Roman"/>
          <w:lang w:val="en-GB"/>
        </w:rPr>
        <w:t>Forecasts of changes in construction output and costs in 2021-2025. year</w:t>
      </w:r>
      <w:r w:rsidR="00F92935" w:rsidRPr="007504E6">
        <w:rPr>
          <w:rFonts w:ascii="Times New Roman" w:hAnsi="Times New Roman" w:cs="Times New Roman"/>
          <w:lang w:val="en-GB"/>
        </w:rPr>
        <w:t>.</w:t>
      </w:r>
    </w:p>
    <w:tbl>
      <w:tblPr>
        <w:tblW w:w="9115" w:type="dxa"/>
        <w:tblLook w:val="04A0" w:firstRow="1" w:lastRow="0" w:firstColumn="1" w:lastColumn="0" w:noHBand="0" w:noVBand="1"/>
      </w:tblPr>
      <w:tblGrid>
        <w:gridCol w:w="1344"/>
        <w:gridCol w:w="1345"/>
        <w:gridCol w:w="1842"/>
        <w:gridCol w:w="1843"/>
        <w:gridCol w:w="2741"/>
      </w:tblGrid>
      <w:tr w:rsidR="00F92935" w:rsidRPr="007504E6" w14:paraId="55A14B6B" w14:textId="77777777" w:rsidTr="009601DA">
        <w:trPr>
          <w:trHeight w:val="454"/>
        </w:trPr>
        <w:tc>
          <w:tcPr>
            <w:tcW w:w="9115" w:type="dxa"/>
            <w:gridSpan w:val="5"/>
            <w:tcBorders>
              <w:top w:val="single" w:sz="4" w:space="0" w:color="auto"/>
              <w:left w:val="single" w:sz="4" w:space="0" w:color="auto"/>
              <w:bottom w:val="single" w:sz="4" w:space="0" w:color="auto"/>
              <w:right w:val="single" w:sz="4" w:space="0" w:color="auto"/>
            </w:tcBorders>
            <w:vAlign w:val="center"/>
            <w:hideMark/>
          </w:tcPr>
          <w:p w14:paraId="413627CA" w14:textId="7E887655" w:rsidR="00F92935" w:rsidRPr="007504E6" w:rsidRDefault="003C2A04" w:rsidP="003C2A04">
            <w:pPr>
              <w:rPr>
                <w:rFonts w:ascii="Times New Roman" w:hAnsi="Times New Roman" w:cs="Times New Roman"/>
                <w:lang w:val="en-GB"/>
              </w:rPr>
            </w:pPr>
            <w:r w:rsidRPr="007504E6">
              <w:rPr>
                <w:rFonts w:ascii="Times New Roman" w:hAnsi="Times New Roman" w:cs="Times New Roman"/>
                <w:lang w:val="en-GB"/>
              </w:rPr>
              <w:t>Changes in the VOLUME of construction output compared to the previous year</w:t>
            </w:r>
          </w:p>
        </w:tc>
      </w:tr>
      <w:tr w:rsidR="003C2A04" w:rsidRPr="007504E6" w14:paraId="41CA9A49" w14:textId="77777777" w:rsidTr="009601DA">
        <w:trPr>
          <w:trHeight w:val="340"/>
        </w:trPr>
        <w:tc>
          <w:tcPr>
            <w:tcW w:w="1344" w:type="dxa"/>
            <w:tcBorders>
              <w:top w:val="single" w:sz="4" w:space="0" w:color="auto"/>
              <w:left w:val="single" w:sz="4" w:space="0" w:color="auto"/>
              <w:bottom w:val="single" w:sz="4" w:space="0" w:color="auto"/>
              <w:right w:val="single" w:sz="4" w:space="0" w:color="auto"/>
            </w:tcBorders>
            <w:vAlign w:val="center"/>
            <w:hideMark/>
          </w:tcPr>
          <w:p w14:paraId="27D73C50" w14:textId="5A7ACDC2" w:rsidR="003C2A04" w:rsidRPr="007504E6" w:rsidRDefault="003C2A04" w:rsidP="003C2A04">
            <w:pPr>
              <w:ind w:firstLine="0"/>
              <w:jc w:val="center"/>
              <w:rPr>
                <w:rFonts w:ascii="Times New Roman" w:hAnsi="Times New Roman" w:cs="Times New Roman"/>
                <w:lang w:val="en-GB"/>
              </w:rPr>
            </w:pPr>
            <w:r w:rsidRPr="007504E6">
              <w:rPr>
                <w:lang w:val="en-GB"/>
              </w:rPr>
              <w:t>2019</w:t>
            </w:r>
          </w:p>
        </w:tc>
        <w:tc>
          <w:tcPr>
            <w:tcW w:w="1345" w:type="dxa"/>
            <w:tcBorders>
              <w:top w:val="single" w:sz="4" w:space="0" w:color="auto"/>
              <w:left w:val="single" w:sz="4" w:space="0" w:color="auto"/>
              <w:bottom w:val="single" w:sz="4" w:space="0" w:color="auto"/>
              <w:right w:val="single" w:sz="4" w:space="0" w:color="auto"/>
            </w:tcBorders>
            <w:vAlign w:val="center"/>
            <w:hideMark/>
          </w:tcPr>
          <w:p w14:paraId="073186E2" w14:textId="34346E88" w:rsidR="003C2A04" w:rsidRPr="007504E6" w:rsidRDefault="003C2A04" w:rsidP="003C2A04">
            <w:pPr>
              <w:ind w:firstLine="0"/>
              <w:jc w:val="center"/>
              <w:rPr>
                <w:rFonts w:ascii="Times New Roman" w:hAnsi="Times New Roman" w:cs="Times New Roman"/>
                <w:lang w:val="en-GB"/>
              </w:rPr>
            </w:pPr>
            <w:r w:rsidRPr="007504E6">
              <w:rPr>
                <w:lang w:val="en-GB"/>
              </w:rPr>
              <w:t>2020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21039F6" w14:textId="5A813630" w:rsidR="003C2A04" w:rsidRPr="007504E6" w:rsidRDefault="003C2A04" w:rsidP="003C2A04">
            <w:pPr>
              <w:ind w:firstLine="0"/>
              <w:jc w:val="center"/>
              <w:rPr>
                <w:rFonts w:ascii="Times New Roman" w:hAnsi="Times New Roman" w:cs="Times New Roman"/>
                <w:lang w:val="en-GB"/>
              </w:rPr>
            </w:pPr>
            <w:r w:rsidRPr="007504E6">
              <w:rPr>
                <w:lang w:val="en-GB"/>
              </w:rPr>
              <w:t>Forecast for 2021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38C4C24" w14:textId="2A08C706" w:rsidR="003C2A04" w:rsidRPr="007504E6" w:rsidRDefault="003C2A04" w:rsidP="003C2A04">
            <w:pPr>
              <w:ind w:firstLine="0"/>
              <w:jc w:val="center"/>
              <w:rPr>
                <w:rFonts w:ascii="Times New Roman" w:hAnsi="Times New Roman" w:cs="Times New Roman"/>
                <w:lang w:val="en-GB"/>
              </w:rPr>
            </w:pPr>
            <w:r w:rsidRPr="007504E6">
              <w:rPr>
                <w:lang w:val="en-GB"/>
              </w:rPr>
              <w:t>Forecast 2022</w:t>
            </w:r>
          </w:p>
        </w:tc>
        <w:tc>
          <w:tcPr>
            <w:tcW w:w="2741" w:type="dxa"/>
            <w:tcBorders>
              <w:top w:val="single" w:sz="4" w:space="0" w:color="auto"/>
              <w:left w:val="single" w:sz="4" w:space="0" w:color="auto"/>
              <w:bottom w:val="single" w:sz="4" w:space="0" w:color="auto"/>
              <w:right w:val="single" w:sz="4" w:space="0" w:color="auto"/>
            </w:tcBorders>
            <w:vAlign w:val="center"/>
            <w:hideMark/>
          </w:tcPr>
          <w:p w14:paraId="0851B648" w14:textId="2DC80720" w:rsidR="003C2A04" w:rsidRPr="007504E6" w:rsidRDefault="003C2A04" w:rsidP="003C2A04">
            <w:pPr>
              <w:ind w:firstLine="0"/>
              <w:jc w:val="center"/>
              <w:rPr>
                <w:rFonts w:ascii="Times New Roman" w:hAnsi="Times New Roman" w:cs="Times New Roman"/>
                <w:lang w:val="en-GB"/>
              </w:rPr>
            </w:pPr>
            <w:r w:rsidRPr="007504E6">
              <w:rPr>
                <w:lang w:val="en-GB"/>
              </w:rPr>
              <w:t>Assessment 2023-2025</w:t>
            </w:r>
          </w:p>
        </w:tc>
      </w:tr>
      <w:tr w:rsidR="003C2A04" w:rsidRPr="007504E6" w14:paraId="02C4584A" w14:textId="77777777" w:rsidTr="009601DA">
        <w:trPr>
          <w:trHeight w:val="340"/>
        </w:trPr>
        <w:tc>
          <w:tcPr>
            <w:tcW w:w="1344" w:type="dxa"/>
            <w:tcBorders>
              <w:top w:val="single" w:sz="4" w:space="0" w:color="auto"/>
              <w:left w:val="single" w:sz="4" w:space="0" w:color="auto"/>
              <w:bottom w:val="single" w:sz="4" w:space="0" w:color="auto"/>
              <w:right w:val="single" w:sz="4" w:space="0" w:color="auto"/>
            </w:tcBorders>
            <w:vAlign w:val="center"/>
            <w:hideMark/>
          </w:tcPr>
          <w:p w14:paraId="148DA9DB" w14:textId="1450A9BF" w:rsidR="003C2A04" w:rsidRPr="007504E6" w:rsidRDefault="003C2A04" w:rsidP="003C2A04">
            <w:pPr>
              <w:ind w:firstLine="0"/>
              <w:jc w:val="center"/>
              <w:rPr>
                <w:rFonts w:ascii="Times New Roman" w:hAnsi="Times New Roman" w:cs="Times New Roman"/>
                <w:lang w:val="en-GB"/>
              </w:rPr>
            </w:pPr>
            <w:r w:rsidRPr="007504E6">
              <w:rPr>
                <w:lang w:val="en-GB"/>
              </w:rPr>
              <w:t>+ 2.9%</w:t>
            </w:r>
          </w:p>
        </w:tc>
        <w:tc>
          <w:tcPr>
            <w:tcW w:w="1345" w:type="dxa"/>
            <w:tcBorders>
              <w:top w:val="single" w:sz="4" w:space="0" w:color="auto"/>
              <w:left w:val="single" w:sz="4" w:space="0" w:color="auto"/>
              <w:bottom w:val="single" w:sz="4" w:space="0" w:color="auto"/>
              <w:right w:val="single" w:sz="4" w:space="0" w:color="auto"/>
            </w:tcBorders>
            <w:vAlign w:val="center"/>
            <w:hideMark/>
          </w:tcPr>
          <w:p w14:paraId="19B9E70A" w14:textId="3156F7E4" w:rsidR="003C2A04" w:rsidRPr="007504E6" w:rsidRDefault="003C2A04" w:rsidP="003C2A04">
            <w:pPr>
              <w:ind w:firstLine="0"/>
              <w:jc w:val="center"/>
              <w:rPr>
                <w:rFonts w:ascii="Times New Roman" w:hAnsi="Times New Roman" w:cs="Times New Roman"/>
                <w:lang w:val="en-GB"/>
              </w:rPr>
            </w:pPr>
            <w:r w:rsidRPr="007504E6">
              <w:rPr>
                <w:lang w:val="en-GB"/>
              </w:rPr>
              <w:t>+ 2.7%</w:t>
            </w:r>
          </w:p>
        </w:tc>
        <w:tc>
          <w:tcPr>
            <w:tcW w:w="1842" w:type="dxa"/>
            <w:tcBorders>
              <w:top w:val="single" w:sz="4" w:space="0" w:color="auto"/>
              <w:left w:val="single" w:sz="4" w:space="0" w:color="auto"/>
              <w:bottom w:val="single" w:sz="4" w:space="0" w:color="auto"/>
            </w:tcBorders>
            <w:vAlign w:val="center"/>
            <w:hideMark/>
          </w:tcPr>
          <w:p w14:paraId="0BE1321E" w14:textId="7070B579" w:rsidR="003C2A04" w:rsidRPr="007504E6" w:rsidRDefault="003C2A04" w:rsidP="003C2A04">
            <w:pPr>
              <w:jc w:val="center"/>
              <w:rPr>
                <w:rFonts w:ascii="Times New Roman" w:hAnsi="Times New Roman" w:cs="Times New Roman"/>
                <w:lang w:val="en-GB"/>
              </w:rPr>
            </w:pPr>
            <w:r w:rsidRPr="007504E6">
              <w:rPr>
                <w:lang w:val="en-GB"/>
              </w:rPr>
              <w:t> </w:t>
            </w:r>
          </w:p>
        </w:tc>
        <w:tc>
          <w:tcPr>
            <w:tcW w:w="1843" w:type="dxa"/>
            <w:tcBorders>
              <w:top w:val="single" w:sz="4" w:space="0" w:color="auto"/>
              <w:bottom w:val="single" w:sz="4" w:space="0" w:color="auto"/>
            </w:tcBorders>
            <w:vAlign w:val="center"/>
            <w:hideMark/>
          </w:tcPr>
          <w:p w14:paraId="594C6750" w14:textId="2EEEE662" w:rsidR="003C2A04" w:rsidRPr="007504E6" w:rsidRDefault="003C2A04" w:rsidP="003C2A04">
            <w:pPr>
              <w:jc w:val="center"/>
              <w:rPr>
                <w:rFonts w:ascii="Times New Roman" w:hAnsi="Times New Roman" w:cs="Times New Roman"/>
                <w:lang w:val="en-GB"/>
              </w:rPr>
            </w:pPr>
            <w:r w:rsidRPr="007504E6">
              <w:rPr>
                <w:lang w:val="en-GB"/>
              </w:rPr>
              <w:t> </w:t>
            </w:r>
          </w:p>
        </w:tc>
        <w:tc>
          <w:tcPr>
            <w:tcW w:w="2741" w:type="dxa"/>
            <w:tcBorders>
              <w:top w:val="single" w:sz="4" w:space="0" w:color="auto"/>
              <w:bottom w:val="single" w:sz="4" w:space="0" w:color="auto"/>
            </w:tcBorders>
            <w:vAlign w:val="center"/>
            <w:hideMark/>
          </w:tcPr>
          <w:p w14:paraId="63244DAA" w14:textId="1E090828" w:rsidR="003C2A04" w:rsidRPr="007504E6" w:rsidRDefault="003C2A04" w:rsidP="003C2A04">
            <w:pPr>
              <w:jc w:val="center"/>
              <w:rPr>
                <w:rFonts w:ascii="Times New Roman" w:hAnsi="Times New Roman" w:cs="Times New Roman"/>
                <w:lang w:val="en-GB"/>
              </w:rPr>
            </w:pPr>
            <w:r w:rsidRPr="007504E6">
              <w:rPr>
                <w:lang w:val="en-GB"/>
              </w:rPr>
              <w:t> </w:t>
            </w:r>
          </w:p>
        </w:tc>
      </w:tr>
      <w:tr w:rsidR="003C2A04" w:rsidRPr="007504E6" w14:paraId="5B16FC7C" w14:textId="77777777" w:rsidTr="009601DA">
        <w:trPr>
          <w:trHeight w:val="340"/>
        </w:trPr>
        <w:tc>
          <w:tcPr>
            <w:tcW w:w="2689" w:type="dxa"/>
            <w:gridSpan w:val="2"/>
            <w:tcBorders>
              <w:top w:val="single" w:sz="4" w:space="0" w:color="auto"/>
              <w:right w:val="single" w:sz="4" w:space="0" w:color="auto"/>
            </w:tcBorders>
            <w:vAlign w:val="center"/>
            <w:hideMark/>
          </w:tcPr>
          <w:p w14:paraId="417BC714" w14:textId="3D42EB1F" w:rsidR="003C2A04" w:rsidRPr="007504E6" w:rsidRDefault="003C2A04" w:rsidP="003C2A04">
            <w:pPr>
              <w:ind w:firstLine="0"/>
              <w:jc w:val="right"/>
              <w:rPr>
                <w:rFonts w:ascii="Times New Roman" w:hAnsi="Times New Roman" w:cs="Times New Roman"/>
                <w:lang w:val="en-GB"/>
              </w:rPr>
            </w:pPr>
            <w:r w:rsidRPr="007504E6">
              <w:rPr>
                <w:lang w:val="en-GB"/>
              </w:rPr>
              <w:t>Combined forecast </w:t>
            </w:r>
            <w:r w:rsidRPr="007504E6">
              <w:rPr>
                <w:rFonts w:ascii="Wingdings" w:hAnsi="Wingdings"/>
                <w:lang w:val="en-GB"/>
              </w:rPr>
              <w:sym w:font="Wingdings" w:char="F0E0"/>
            </w:r>
          </w:p>
        </w:tc>
        <w:tc>
          <w:tcPr>
            <w:tcW w:w="1842" w:type="dxa"/>
            <w:tcBorders>
              <w:top w:val="single" w:sz="4" w:space="0" w:color="auto"/>
              <w:left w:val="single" w:sz="4" w:space="0" w:color="auto"/>
              <w:bottom w:val="single" w:sz="4" w:space="0" w:color="auto"/>
              <w:right w:val="single" w:sz="4" w:space="0" w:color="auto"/>
            </w:tcBorders>
            <w:vAlign w:val="center"/>
            <w:hideMark/>
          </w:tcPr>
          <w:p w14:paraId="44912CF3" w14:textId="6229DBFD" w:rsidR="003C2A04" w:rsidRPr="007504E6" w:rsidRDefault="003C2A04" w:rsidP="003C2A04">
            <w:pPr>
              <w:ind w:firstLine="0"/>
              <w:jc w:val="center"/>
              <w:rPr>
                <w:rFonts w:ascii="Times New Roman" w:hAnsi="Times New Roman" w:cs="Times New Roman"/>
                <w:lang w:val="en-GB"/>
              </w:rPr>
            </w:pPr>
            <w:r w:rsidRPr="007504E6">
              <w:rPr>
                <w:lang w:val="en-GB"/>
              </w:rPr>
              <w:t>+ 6.6%</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076393A" w14:textId="67909975" w:rsidR="003C2A04" w:rsidRPr="007504E6" w:rsidRDefault="003C2A04" w:rsidP="003C2A04">
            <w:pPr>
              <w:ind w:firstLine="0"/>
              <w:jc w:val="center"/>
              <w:rPr>
                <w:rFonts w:ascii="Times New Roman" w:hAnsi="Times New Roman" w:cs="Times New Roman"/>
                <w:lang w:val="en-GB"/>
              </w:rPr>
            </w:pPr>
            <w:r w:rsidRPr="007504E6">
              <w:rPr>
                <w:lang w:val="en-GB"/>
              </w:rPr>
              <w:t>+ 7.1%</w:t>
            </w:r>
          </w:p>
        </w:tc>
        <w:tc>
          <w:tcPr>
            <w:tcW w:w="2741" w:type="dxa"/>
            <w:tcBorders>
              <w:top w:val="single" w:sz="4" w:space="0" w:color="auto"/>
              <w:left w:val="single" w:sz="4" w:space="0" w:color="auto"/>
              <w:bottom w:val="single" w:sz="4" w:space="0" w:color="auto"/>
              <w:right w:val="single" w:sz="4" w:space="0" w:color="auto"/>
            </w:tcBorders>
            <w:vAlign w:val="center"/>
            <w:hideMark/>
          </w:tcPr>
          <w:p w14:paraId="227E1C78" w14:textId="34C187E0" w:rsidR="003C2A04" w:rsidRPr="007504E6" w:rsidRDefault="003C2A04" w:rsidP="003C2A04">
            <w:pPr>
              <w:ind w:firstLine="0"/>
              <w:jc w:val="center"/>
              <w:rPr>
                <w:rFonts w:ascii="Times New Roman" w:hAnsi="Times New Roman" w:cs="Times New Roman"/>
                <w:lang w:val="en-GB"/>
              </w:rPr>
            </w:pPr>
            <w:r w:rsidRPr="007504E6">
              <w:rPr>
                <w:lang w:val="en-GB"/>
              </w:rPr>
              <w:t>+ 6.5% to + 4.9%</w:t>
            </w:r>
          </w:p>
        </w:tc>
      </w:tr>
      <w:tr w:rsidR="003C2A04" w:rsidRPr="007504E6" w14:paraId="14CA8CF2" w14:textId="77777777" w:rsidTr="009601DA">
        <w:trPr>
          <w:trHeight w:val="340"/>
        </w:trPr>
        <w:tc>
          <w:tcPr>
            <w:tcW w:w="2689" w:type="dxa"/>
            <w:gridSpan w:val="2"/>
            <w:tcBorders>
              <w:right w:val="single" w:sz="4" w:space="0" w:color="auto"/>
            </w:tcBorders>
            <w:vAlign w:val="center"/>
            <w:hideMark/>
          </w:tcPr>
          <w:p w14:paraId="1BE11989" w14:textId="655DA30C" w:rsidR="003C2A04" w:rsidRPr="007504E6" w:rsidRDefault="003C2A04" w:rsidP="003C2A04">
            <w:pPr>
              <w:ind w:firstLine="0"/>
              <w:jc w:val="right"/>
              <w:rPr>
                <w:rFonts w:ascii="Times New Roman" w:hAnsi="Times New Roman" w:cs="Times New Roman"/>
                <w:lang w:val="en-GB"/>
              </w:rPr>
            </w:pPr>
            <w:r w:rsidRPr="007504E6">
              <w:rPr>
                <w:lang w:val="en-GB"/>
              </w:rPr>
              <w:t>Experts forecast </w:t>
            </w:r>
            <w:r w:rsidRPr="007504E6">
              <w:rPr>
                <w:rFonts w:ascii="Wingdings" w:hAnsi="Wingdings"/>
                <w:lang w:val="en-GB"/>
              </w:rPr>
              <w:sym w:font="Wingdings" w:char="F0E0"/>
            </w:r>
          </w:p>
        </w:tc>
        <w:tc>
          <w:tcPr>
            <w:tcW w:w="1842" w:type="dxa"/>
            <w:tcBorders>
              <w:top w:val="single" w:sz="4" w:space="0" w:color="auto"/>
              <w:left w:val="single" w:sz="4" w:space="0" w:color="auto"/>
              <w:bottom w:val="single" w:sz="4" w:space="0" w:color="auto"/>
              <w:right w:val="single" w:sz="4" w:space="0" w:color="auto"/>
            </w:tcBorders>
            <w:vAlign w:val="center"/>
            <w:hideMark/>
          </w:tcPr>
          <w:p w14:paraId="259D533F" w14:textId="71EF334C" w:rsidR="003C2A04" w:rsidRPr="007504E6" w:rsidRDefault="003C2A04" w:rsidP="003C2A04">
            <w:pPr>
              <w:ind w:firstLine="0"/>
              <w:jc w:val="center"/>
              <w:rPr>
                <w:rFonts w:ascii="Times New Roman" w:hAnsi="Times New Roman" w:cs="Times New Roman"/>
                <w:lang w:val="en-GB"/>
              </w:rPr>
            </w:pPr>
            <w:r w:rsidRPr="007504E6">
              <w:rPr>
                <w:lang w:val="en-GB"/>
              </w:rPr>
              <w:t>+ 8.7%</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F8F4D63" w14:textId="2CCB3854" w:rsidR="003C2A04" w:rsidRPr="007504E6" w:rsidRDefault="003C2A04" w:rsidP="003C2A04">
            <w:pPr>
              <w:ind w:firstLine="0"/>
              <w:jc w:val="center"/>
              <w:rPr>
                <w:rFonts w:ascii="Times New Roman" w:hAnsi="Times New Roman" w:cs="Times New Roman"/>
                <w:lang w:val="en-GB"/>
              </w:rPr>
            </w:pPr>
            <w:r w:rsidRPr="007504E6">
              <w:rPr>
                <w:lang w:val="en-GB"/>
              </w:rPr>
              <w:t>+ 10.1%</w:t>
            </w:r>
          </w:p>
        </w:tc>
        <w:tc>
          <w:tcPr>
            <w:tcW w:w="2741" w:type="dxa"/>
            <w:tcBorders>
              <w:top w:val="single" w:sz="4" w:space="0" w:color="auto"/>
              <w:left w:val="single" w:sz="4" w:space="0" w:color="auto"/>
              <w:bottom w:val="single" w:sz="4" w:space="0" w:color="auto"/>
              <w:right w:val="single" w:sz="4" w:space="0" w:color="auto"/>
            </w:tcBorders>
            <w:vAlign w:val="center"/>
            <w:hideMark/>
          </w:tcPr>
          <w:p w14:paraId="57989CF7" w14:textId="323EB201" w:rsidR="003C2A04" w:rsidRPr="007504E6" w:rsidRDefault="003C2A04" w:rsidP="003C2A04">
            <w:pPr>
              <w:ind w:firstLine="0"/>
              <w:jc w:val="center"/>
              <w:rPr>
                <w:rFonts w:ascii="Times New Roman" w:hAnsi="Times New Roman" w:cs="Times New Roman"/>
                <w:lang w:val="en-GB"/>
              </w:rPr>
            </w:pPr>
            <w:r w:rsidRPr="007504E6">
              <w:rPr>
                <w:lang w:val="en-GB"/>
              </w:rPr>
              <w:t>+ 9.1% to + 6.4%</w:t>
            </w:r>
          </w:p>
        </w:tc>
      </w:tr>
      <w:tr w:rsidR="009601DA" w:rsidRPr="007504E6" w14:paraId="36E0DE88" w14:textId="77777777" w:rsidTr="009601DA">
        <w:trPr>
          <w:trHeight w:val="531"/>
        </w:trPr>
        <w:tc>
          <w:tcPr>
            <w:tcW w:w="1344" w:type="dxa"/>
            <w:tcBorders>
              <w:bottom w:val="single" w:sz="4" w:space="0" w:color="auto"/>
            </w:tcBorders>
            <w:vAlign w:val="center"/>
            <w:hideMark/>
          </w:tcPr>
          <w:p w14:paraId="398DD1E4" w14:textId="048C0D7C" w:rsidR="00F92935" w:rsidRPr="007504E6" w:rsidRDefault="00F92935" w:rsidP="00F92935">
            <w:pPr>
              <w:jc w:val="center"/>
              <w:rPr>
                <w:rFonts w:ascii="Times New Roman" w:hAnsi="Times New Roman" w:cs="Times New Roman"/>
                <w:lang w:val="en-GB"/>
              </w:rPr>
            </w:pPr>
          </w:p>
        </w:tc>
        <w:tc>
          <w:tcPr>
            <w:tcW w:w="1345" w:type="dxa"/>
            <w:tcBorders>
              <w:bottom w:val="single" w:sz="4" w:space="0" w:color="auto"/>
            </w:tcBorders>
            <w:vAlign w:val="center"/>
            <w:hideMark/>
          </w:tcPr>
          <w:p w14:paraId="10B9F797" w14:textId="0BEE13A9" w:rsidR="00F92935" w:rsidRPr="007504E6" w:rsidRDefault="00F92935" w:rsidP="00D575B4">
            <w:pPr>
              <w:ind w:firstLine="0"/>
              <w:rPr>
                <w:rFonts w:ascii="Times New Roman" w:hAnsi="Times New Roman" w:cs="Times New Roman"/>
                <w:lang w:val="en-GB"/>
              </w:rPr>
            </w:pPr>
          </w:p>
        </w:tc>
        <w:tc>
          <w:tcPr>
            <w:tcW w:w="1842" w:type="dxa"/>
            <w:tcBorders>
              <w:top w:val="single" w:sz="4" w:space="0" w:color="auto"/>
              <w:bottom w:val="single" w:sz="4" w:space="0" w:color="auto"/>
            </w:tcBorders>
            <w:vAlign w:val="center"/>
            <w:hideMark/>
          </w:tcPr>
          <w:p w14:paraId="495C1493" w14:textId="4774E40E" w:rsidR="00F92935" w:rsidRPr="007504E6" w:rsidRDefault="00F92935" w:rsidP="00F92935">
            <w:pPr>
              <w:jc w:val="center"/>
              <w:rPr>
                <w:rFonts w:ascii="Times New Roman" w:hAnsi="Times New Roman" w:cs="Times New Roman"/>
                <w:lang w:val="en-GB"/>
              </w:rPr>
            </w:pPr>
          </w:p>
        </w:tc>
        <w:tc>
          <w:tcPr>
            <w:tcW w:w="1843" w:type="dxa"/>
            <w:tcBorders>
              <w:top w:val="single" w:sz="4" w:space="0" w:color="auto"/>
              <w:bottom w:val="single" w:sz="4" w:space="0" w:color="auto"/>
            </w:tcBorders>
            <w:vAlign w:val="center"/>
            <w:hideMark/>
          </w:tcPr>
          <w:p w14:paraId="6C8E387F" w14:textId="6A5DC69F" w:rsidR="00F92935" w:rsidRPr="007504E6" w:rsidRDefault="00F92935" w:rsidP="00F92935">
            <w:pPr>
              <w:jc w:val="center"/>
              <w:rPr>
                <w:rFonts w:ascii="Times New Roman" w:hAnsi="Times New Roman" w:cs="Times New Roman"/>
                <w:lang w:val="en-GB"/>
              </w:rPr>
            </w:pPr>
          </w:p>
        </w:tc>
        <w:tc>
          <w:tcPr>
            <w:tcW w:w="2741" w:type="dxa"/>
            <w:tcBorders>
              <w:top w:val="single" w:sz="4" w:space="0" w:color="auto"/>
              <w:bottom w:val="single" w:sz="4" w:space="0" w:color="auto"/>
            </w:tcBorders>
            <w:vAlign w:val="center"/>
            <w:hideMark/>
          </w:tcPr>
          <w:p w14:paraId="271A4BF6" w14:textId="2A99C44A" w:rsidR="00F92935" w:rsidRPr="007504E6" w:rsidRDefault="00F92935" w:rsidP="00F92935">
            <w:pPr>
              <w:jc w:val="center"/>
              <w:rPr>
                <w:rFonts w:ascii="Times New Roman" w:hAnsi="Times New Roman" w:cs="Times New Roman"/>
                <w:lang w:val="en-GB"/>
              </w:rPr>
            </w:pPr>
          </w:p>
        </w:tc>
      </w:tr>
      <w:tr w:rsidR="00F92935" w:rsidRPr="007504E6" w14:paraId="1DDB480A" w14:textId="77777777" w:rsidTr="009601DA">
        <w:trPr>
          <w:trHeight w:val="454"/>
        </w:trPr>
        <w:tc>
          <w:tcPr>
            <w:tcW w:w="9115" w:type="dxa"/>
            <w:gridSpan w:val="5"/>
            <w:tcBorders>
              <w:top w:val="single" w:sz="4" w:space="0" w:color="auto"/>
              <w:left w:val="single" w:sz="4" w:space="0" w:color="auto"/>
              <w:bottom w:val="single" w:sz="4" w:space="0" w:color="auto"/>
              <w:right w:val="single" w:sz="4" w:space="0" w:color="auto"/>
            </w:tcBorders>
            <w:vAlign w:val="center"/>
            <w:hideMark/>
          </w:tcPr>
          <w:p w14:paraId="6BC5C9CA" w14:textId="337E564D" w:rsidR="00F92935" w:rsidRPr="007504E6" w:rsidRDefault="003C2A04" w:rsidP="003C2A04">
            <w:pPr>
              <w:rPr>
                <w:rFonts w:ascii="Times New Roman" w:hAnsi="Times New Roman" w:cs="Times New Roman"/>
                <w:lang w:val="en-GB"/>
              </w:rPr>
            </w:pPr>
            <w:r w:rsidRPr="007504E6">
              <w:rPr>
                <w:rFonts w:ascii="Times New Roman" w:hAnsi="Times New Roman" w:cs="Times New Roman"/>
                <w:lang w:val="en-GB"/>
              </w:rPr>
              <w:t>CHANGES IN CONSTRUCTION COSTS compared to the previous year</w:t>
            </w:r>
          </w:p>
        </w:tc>
      </w:tr>
      <w:tr w:rsidR="00836D15" w:rsidRPr="007504E6" w14:paraId="2F39598F" w14:textId="77777777" w:rsidTr="009601DA">
        <w:trPr>
          <w:trHeight w:val="340"/>
        </w:trPr>
        <w:tc>
          <w:tcPr>
            <w:tcW w:w="1344" w:type="dxa"/>
            <w:tcBorders>
              <w:top w:val="single" w:sz="4" w:space="0" w:color="auto"/>
              <w:left w:val="single" w:sz="4" w:space="0" w:color="auto"/>
              <w:bottom w:val="single" w:sz="4" w:space="0" w:color="auto"/>
              <w:right w:val="single" w:sz="4" w:space="0" w:color="auto"/>
            </w:tcBorders>
            <w:vAlign w:val="center"/>
            <w:hideMark/>
          </w:tcPr>
          <w:p w14:paraId="006772A4" w14:textId="2950103B" w:rsidR="00836D15" w:rsidRPr="007504E6" w:rsidRDefault="0093524D" w:rsidP="00836D15">
            <w:pPr>
              <w:ind w:firstLine="0"/>
              <w:jc w:val="center"/>
              <w:rPr>
                <w:rFonts w:ascii="Times New Roman" w:hAnsi="Times New Roman" w:cs="Times New Roman"/>
                <w:lang w:val="en-GB"/>
              </w:rPr>
            </w:pPr>
            <w:r w:rsidRPr="007504E6">
              <w:rPr>
                <w:lang w:val="en-GB"/>
              </w:rPr>
              <w:t>20</w:t>
            </w:r>
            <w:r w:rsidR="00836D15" w:rsidRPr="007504E6">
              <w:rPr>
                <w:lang w:val="en-GB"/>
              </w:rPr>
              <w:t>19</w:t>
            </w:r>
          </w:p>
        </w:tc>
        <w:tc>
          <w:tcPr>
            <w:tcW w:w="1345" w:type="dxa"/>
            <w:tcBorders>
              <w:top w:val="single" w:sz="4" w:space="0" w:color="auto"/>
              <w:left w:val="single" w:sz="4" w:space="0" w:color="auto"/>
              <w:bottom w:val="single" w:sz="4" w:space="0" w:color="auto"/>
              <w:right w:val="single" w:sz="4" w:space="0" w:color="auto"/>
            </w:tcBorders>
            <w:vAlign w:val="center"/>
            <w:hideMark/>
          </w:tcPr>
          <w:p w14:paraId="1BA5AA3D" w14:textId="7F8B7176" w:rsidR="00836D15" w:rsidRPr="007504E6" w:rsidRDefault="00836D15" w:rsidP="00836D15">
            <w:pPr>
              <w:ind w:firstLine="0"/>
              <w:jc w:val="center"/>
              <w:rPr>
                <w:rFonts w:ascii="Times New Roman" w:hAnsi="Times New Roman" w:cs="Times New Roman"/>
                <w:lang w:val="en-GB"/>
              </w:rPr>
            </w:pPr>
            <w:r w:rsidRPr="007504E6">
              <w:rPr>
                <w:lang w:val="en-GB"/>
              </w:rPr>
              <w:t>2020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D80A387" w14:textId="238CA764" w:rsidR="00836D15" w:rsidRPr="007504E6" w:rsidRDefault="00836D15" w:rsidP="00836D15">
            <w:pPr>
              <w:ind w:firstLine="0"/>
              <w:jc w:val="center"/>
              <w:rPr>
                <w:rFonts w:ascii="Times New Roman" w:hAnsi="Times New Roman" w:cs="Times New Roman"/>
                <w:lang w:val="en-GB"/>
              </w:rPr>
            </w:pPr>
            <w:r w:rsidRPr="007504E6">
              <w:rPr>
                <w:lang w:val="en-GB"/>
              </w:rPr>
              <w:t>2021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B0E5135" w14:textId="65FE73FA" w:rsidR="00836D15" w:rsidRPr="007504E6" w:rsidRDefault="00836D15" w:rsidP="00836D15">
            <w:pPr>
              <w:ind w:firstLine="0"/>
              <w:jc w:val="center"/>
              <w:rPr>
                <w:rFonts w:ascii="Times New Roman" w:hAnsi="Times New Roman" w:cs="Times New Roman"/>
                <w:lang w:val="en-GB"/>
              </w:rPr>
            </w:pPr>
            <w:r w:rsidRPr="007504E6">
              <w:rPr>
                <w:lang w:val="en-GB"/>
              </w:rPr>
              <w:t>2022</w:t>
            </w:r>
          </w:p>
        </w:tc>
        <w:tc>
          <w:tcPr>
            <w:tcW w:w="2741" w:type="dxa"/>
            <w:tcBorders>
              <w:top w:val="single" w:sz="4" w:space="0" w:color="auto"/>
              <w:left w:val="single" w:sz="4" w:space="0" w:color="auto"/>
              <w:bottom w:val="single" w:sz="4" w:space="0" w:color="auto"/>
              <w:right w:val="single" w:sz="4" w:space="0" w:color="auto"/>
            </w:tcBorders>
            <w:vAlign w:val="center"/>
            <w:hideMark/>
          </w:tcPr>
          <w:p w14:paraId="3F4E0597" w14:textId="533C3D39" w:rsidR="00836D15" w:rsidRPr="007504E6" w:rsidRDefault="00836D15" w:rsidP="00836D15">
            <w:pPr>
              <w:ind w:firstLine="0"/>
              <w:jc w:val="center"/>
              <w:rPr>
                <w:rFonts w:ascii="Times New Roman" w:hAnsi="Times New Roman" w:cs="Times New Roman"/>
                <w:lang w:val="en-GB"/>
              </w:rPr>
            </w:pPr>
            <w:r w:rsidRPr="007504E6">
              <w:rPr>
                <w:lang w:val="en-GB"/>
              </w:rPr>
              <w:t>2023-2025</w:t>
            </w:r>
          </w:p>
        </w:tc>
      </w:tr>
      <w:tr w:rsidR="00836D15" w:rsidRPr="007504E6" w14:paraId="7364E933" w14:textId="77777777" w:rsidTr="009601DA">
        <w:trPr>
          <w:trHeight w:val="340"/>
        </w:trPr>
        <w:tc>
          <w:tcPr>
            <w:tcW w:w="1344" w:type="dxa"/>
            <w:tcBorders>
              <w:top w:val="single" w:sz="4" w:space="0" w:color="auto"/>
              <w:left w:val="single" w:sz="4" w:space="0" w:color="auto"/>
              <w:bottom w:val="single" w:sz="4" w:space="0" w:color="auto"/>
              <w:right w:val="single" w:sz="4" w:space="0" w:color="auto"/>
            </w:tcBorders>
            <w:vAlign w:val="center"/>
            <w:hideMark/>
          </w:tcPr>
          <w:p w14:paraId="462D8569" w14:textId="7578A100" w:rsidR="00836D15" w:rsidRPr="007504E6" w:rsidRDefault="00836D15" w:rsidP="00836D15">
            <w:pPr>
              <w:ind w:firstLine="0"/>
              <w:jc w:val="center"/>
              <w:rPr>
                <w:rFonts w:ascii="Times New Roman" w:hAnsi="Times New Roman" w:cs="Times New Roman"/>
                <w:lang w:val="en-GB"/>
              </w:rPr>
            </w:pPr>
            <w:r w:rsidRPr="007504E6">
              <w:rPr>
                <w:lang w:val="en-GB"/>
              </w:rPr>
              <w:t>+ 4.1%</w:t>
            </w:r>
          </w:p>
        </w:tc>
        <w:tc>
          <w:tcPr>
            <w:tcW w:w="1345" w:type="dxa"/>
            <w:tcBorders>
              <w:top w:val="single" w:sz="4" w:space="0" w:color="auto"/>
              <w:left w:val="single" w:sz="4" w:space="0" w:color="auto"/>
              <w:bottom w:val="single" w:sz="4" w:space="0" w:color="auto"/>
              <w:right w:val="single" w:sz="4" w:space="0" w:color="auto"/>
            </w:tcBorders>
            <w:vAlign w:val="center"/>
            <w:hideMark/>
          </w:tcPr>
          <w:p w14:paraId="5B63EB67" w14:textId="47B1566E" w:rsidR="00836D15" w:rsidRPr="007504E6" w:rsidRDefault="00836D15" w:rsidP="00836D15">
            <w:pPr>
              <w:ind w:firstLine="0"/>
              <w:jc w:val="center"/>
              <w:rPr>
                <w:rFonts w:ascii="Times New Roman" w:hAnsi="Times New Roman" w:cs="Times New Roman"/>
                <w:lang w:val="en-GB"/>
              </w:rPr>
            </w:pPr>
            <w:r w:rsidRPr="007504E6">
              <w:rPr>
                <w:lang w:val="en-GB"/>
              </w:rPr>
              <w:t>+ 1.3%</w:t>
            </w:r>
          </w:p>
        </w:tc>
        <w:tc>
          <w:tcPr>
            <w:tcW w:w="1842" w:type="dxa"/>
            <w:tcBorders>
              <w:top w:val="single" w:sz="4" w:space="0" w:color="auto"/>
              <w:left w:val="single" w:sz="4" w:space="0" w:color="auto"/>
              <w:bottom w:val="single" w:sz="4" w:space="0" w:color="auto"/>
            </w:tcBorders>
            <w:vAlign w:val="center"/>
            <w:hideMark/>
          </w:tcPr>
          <w:p w14:paraId="234ABB97" w14:textId="794DA3E8" w:rsidR="00836D15" w:rsidRPr="007504E6" w:rsidRDefault="00836D15" w:rsidP="00836D15">
            <w:pPr>
              <w:jc w:val="center"/>
              <w:rPr>
                <w:rFonts w:ascii="Times New Roman" w:hAnsi="Times New Roman" w:cs="Times New Roman"/>
                <w:lang w:val="en-GB"/>
              </w:rPr>
            </w:pPr>
            <w:r w:rsidRPr="007504E6">
              <w:rPr>
                <w:lang w:val="en-GB"/>
              </w:rPr>
              <w:t> </w:t>
            </w:r>
          </w:p>
        </w:tc>
        <w:tc>
          <w:tcPr>
            <w:tcW w:w="1843" w:type="dxa"/>
            <w:tcBorders>
              <w:top w:val="single" w:sz="4" w:space="0" w:color="auto"/>
              <w:bottom w:val="single" w:sz="4" w:space="0" w:color="auto"/>
            </w:tcBorders>
            <w:vAlign w:val="center"/>
            <w:hideMark/>
          </w:tcPr>
          <w:p w14:paraId="050B5C49" w14:textId="3295F557" w:rsidR="00836D15" w:rsidRPr="007504E6" w:rsidRDefault="00836D15" w:rsidP="00836D15">
            <w:pPr>
              <w:jc w:val="center"/>
              <w:rPr>
                <w:rFonts w:ascii="Times New Roman" w:hAnsi="Times New Roman" w:cs="Times New Roman"/>
                <w:lang w:val="en-GB"/>
              </w:rPr>
            </w:pPr>
            <w:r w:rsidRPr="007504E6">
              <w:rPr>
                <w:lang w:val="en-GB"/>
              </w:rPr>
              <w:t> </w:t>
            </w:r>
          </w:p>
        </w:tc>
        <w:tc>
          <w:tcPr>
            <w:tcW w:w="2741" w:type="dxa"/>
            <w:tcBorders>
              <w:top w:val="single" w:sz="4" w:space="0" w:color="auto"/>
              <w:bottom w:val="single" w:sz="4" w:space="0" w:color="auto"/>
            </w:tcBorders>
            <w:vAlign w:val="center"/>
            <w:hideMark/>
          </w:tcPr>
          <w:p w14:paraId="1FE01A7D" w14:textId="3DF1E066" w:rsidR="00836D15" w:rsidRPr="007504E6" w:rsidRDefault="00836D15" w:rsidP="00836D15">
            <w:pPr>
              <w:jc w:val="center"/>
              <w:rPr>
                <w:rFonts w:ascii="Times New Roman" w:hAnsi="Times New Roman" w:cs="Times New Roman"/>
                <w:lang w:val="en-GB"/>
              </w:rPr>
            </w:pPr>
            <w:r w:rsidRPr="007504E6">
              <w:rPr>
                <w:lang w:val="en-GB"/>
              </w:rPr>
              <w:t> </w:t>
            </w:r>
          </w:p>
        </w:tc>
      </w:tr>
      <w:tr w:rsidR="00836D15" w:rsidRPr="007504E6" w14:paraId="2D8EDA0F" w14:textId="77777777" w:rsidTr="009601DA">
        <w:trPr>
          <w:trHeight w:val="340"/>
        </w:trPr>
        <w:tc>
          <w:tcPr>
            <w:tcW w:w="2689" w:type="dxa"/>
            <w:gridSpan w:val="2"/>
            <w:tcBorders>
              <w:top w:val="single" w:sz="4" w:space="0" w:color="auto"/>
              <w:right w:val="single" w:sz="4" w:space="0" w:color="auto"/>
            </w:tcBorders>
            <w:vAlign w:val="center"/>
            <w:hideMark/>
          </w:tcPr>
          <w:p w14:paraId="015347C9" w14:textId="7A138422" w:rsidR="00836D15" w:rsidRPr="007504E6" w:rsidRDefault="00836D15" w:rsidP="00836D15">
            <w:pPr>
              <w:ind w:firstLine="0"/>
              <w:jc w:val="right"/>
              <w:rPr>
                <w:rFonts w:ascii="Times New Roman" w:hAnsi="Times New Roman" w:cs="Times New Roman"/>
                <w:lang w:val="en-GB"/>
              </w:rPr>
            </w:pPr>
            <w:r w:rsidRPr="007504E6">
              <w:rPr>
                <w:lang w:val="en-GB"/>
              </w:rPr>
              <w:t>Combined Forecast </w:t>
            </w:r>
            <w:r w:rsidRPr="007504E6">
              <w:rPr>
                <w:rFonts w:ascii="Wingdings" w:hAnsi="Wingdings"/>
                <w:lang w:val="en-GB"/>
              </w:rPr>
              <w:sym w:font="Wingdings" w:char="F0E0"/>
            </w:r>
          </w:p>
        </w:tc>
        <w:tc>
          <w:tcPr>
            <w:tcW w:w="1842" w:type="dxa"/>
            <w:tcBorders>
              <w:top w:val="single" w:sz="4" w:space="0" w:color="auto"/>
              <w:left w:val="single" w:sz="4" w:space="0" w:color="auto"/>
              <w:bottom w:val="single" w:sz="4" w:space="0" w:color="auto"/>
              <w:right w:val="single" w:sz="4" w:space="0" w:color="auto"/>
            </w:tcBorders>
            <w:vAlign w:val="center"/>
            <w:hideMark/>
          </w:tcPr>
          <w:p w14:paraId="72F5A00A" w14:textId="5ABE5B5A" w:rsidR="00836D15" w:rsidRPr="007504E6" w:rsidRDefault="00836D15" w:rsidP="00836D15">
            <w:pPr>
              <w:ind w:firstLine="0"/>
              <w:jc w:val="center"/>
              <w:rPr>
                <w:rFonts w:ascii="Times New Roman" w:hAnsi="Times New Roman" w:cs="Times New Roman"/>
                <w:lang w:val="en-GB"/>
              </w:rPr>
            </w:pPr>
            <w:r w:rsidRPr="007504E6">
              <w:rPr>
                <w:lang w:val="en-GB"/>
              </w:rPr>
              <w:t>+ 6.6%</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4099E69" w14:textId="0E6DB8A7" w:rsidR="00836D15" w:rsidRPr="007504E6" w:rsidRDefault="00836D15" w:rsidP="00836D15">
            <w:pPr>
              <w:ind w:firstLine="0"/>
              <w:jc w:val="center"/>
              <w:rPr>
                <w:rFonts w:ascii="Times New Roman" w:hAnsi="Times New Roman" w:cs="Times New Roman"/>
                <w:lang w:val="en-GB"/>
              </w:rPr>
            </w:pPr>
            <w:r w:rsidRPr="007504E6">
              <w:rPr>
                <w:lang w:val="en-GB"/>
              </w:rPr>
              <w:t>+ 5.6%</w:t>
            </w:r>
          </w:p>
        </w:tc>
        <w:tc>
          <w:tcPr>
            <w:tcW w:w="2741" w:type="dxa"/>
            <w:tcBorders>
              <w:top w:val="single" w:sz="4" w:space="0" w:color="auto"/>
              <w:left w:val="single" w:sz="4" w:space="0" w:color="auto"/>
              <w:bottom w:val="single" w:sz="4" w:space="0" w:color="auto"/>
              <w:right w:val="single" w:sz="4" w:space="0" w:color="auto"/>
            </w:tcBorders>
            <w:vAlign w:val="center"/>
            <w:hideMark/>
          </w:tcPr>
          <w:p w14:paraId="100F146A" w14:textId="3200DD58" w:rsidR="00836D15" w:rsidRPr="007504E6" w:rsidRDefault="00836D15" w:rsidP="00836D15">
            <w:pPr>
              <w:ind w:firstLine="0"/>
              <w:jc w:val="center"/>
              <w:rPr>
                <w:rFonts w:ascii="Times New Roman" w:hAnsi="Times New Roman" w:cs="Times New Roman"/>
                <w:lang w:val="en-GB"/>
              </w:rPr>
            </w:pPr>
            <w:r w:rsidRPr="007504E6">
              <w:rPr>
                <w:lang w:val="en-GB"/>
              </w:rPr>
              <w:t>+ 3.7% to + 2.6%</w:t>
            </w:r>
          </w:p>
        </w:tc>
      </w:tr>
      <w:tr w:rsidR="00836D15" w:rsidRPr="007504E6" w14:paraId="605F1635" w14:textId="77777777" w:rsidTr="009601DA">
        <w:trPr>
          <w:trHeight w:val="340"/>
        </w:trPr>
        <w:tc>
          <w:tcPr>
            <w:tcW w:w="2689" w:type="dxa"/>
            <w:gridSpan w:val="2"/>
            <w:tcBorders>
              <w:right w:val="single" w:sz="4" w:space="0" w:color="auto"/>
            </w:tcBorders>
            <w:vAlign w:val="center"/>
            <w:hideMark/>
          </w:tcPr>
          <w:p w14:paraId="5C504A17" w14:textId="15BA2FD2" w:rsidR="00836D15" w:rsidRPr="007504E6" w:rsidRDefault="00836D15" w:rsidP="00836D15">
            <w:pPr>
              <w:ind w:firstLine="0"/>
              <w:jc w:val="right"/>
              <w:rPr>
                <w:rFonts w:ascii="Times New Roman" w:hAnsi="Times New Roman" w:cs="Times New Roman"/>
                <w:lang w:val="en-GB"/>
              </w:rPr>
            </w:pPr>
            <w:r w:rsidRPr="007504E6">
              <w:rPr>
                <w:lang w:val="en-GB"/>
              </w:rPr>
              <w:t>Experts forecast </w:t>
            </w:r>
            <w:r w:rsidRPr="007504E6">
              <w:rPr>
                <w:rFonts w:ascii="Wingdings" w:hAnsi="Wingdings"/>
                <w:lang w:val="en-GB"/>
              </w:rPr>
              <w:sym w:font="Wingdings" w:char="F0E0"/>
            </w:r>
          </w:p>
        </w:tc>
        <w:tc>
          <w:tcPr>
            <w:tcW w:w="1842" w:type="dxa"/>
            <w:tcBorders>
              <w:top w:val="single" w:sz="4" w:space="0" w:color="auto"/>
              <w:left w:val="single" w:sz="4" w:space="0" w:color="auto"/>
              <w:bottom w:val="single" w:sz="4" w:space="0" w:color="auto"/>
              <w:right w:val="single" w:sz="4" w:space="0" w:color="auto"/>
            </w:tcBorders>
            <w:vAlign w:val="center"/>
            <w:hideMark/>
          </w:tcPr>
          <w:p w14:paraId="0F3729A1" w14:textId="1D5FD80B" w:rsidR="00836D15" w:rsidRPr="007504E6" w:rsidRDefault="00836D15" w:rsidP="00836D15">
            <w:pPr>
              <w:ind w:firstLine="0"/>
              <w:jc w:val="center"/>
              <w:rPr>
                <w:rFonts w:ascii="Times New Roman" w:hAnsi="Times New Roman" w:cs="Times New Roman"/>
                <w:lang w:val="en-GB"/>
              </w:rPr>
            </w:pPr>
            <w:r w:rsidRPr="007504E6">
              <w:rPr>
                <w:lang w:val="en-GB"/>
              </w:rPr>
              <w:t>+ 11.4%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244ADB9" w14:textId="0B01C39B" w:rsidR="00836D15" w:rsidRPr="007504E6" w:rsidRDefault="00836D15" w:rsidP="00836D15">
            <w:pPr>
              <w:ind w:firstLine="0"/>
              <w:jc w:val="center"/>
              <w:rPr>
                <w:rFonts w:ascii="Times New Roman" w:hAnsi="Times New Roman" w:cs="Times New Roman"/>
                <w:lang w:val="en-GB"/>
              </w:rPr>
            </w:pPr>
            <w:r w:rsidRPr="007504E6">
              <w:rPr>
                <w:lang w:val="en-GB"/>
              </w:rPr>
              <w:t>+ 9.5%</w:t>
            </w:r>
          </w:p>
        </w:tc>
        <w:tc>
          <w:tcPr>
            <w:tcW w:w="2741" w:type="dxa"/>
            <w:tcBorders>
              <w:top w:val="single" w:sz="4" w:space="0" w:color="auto"/>
              <w:left w:val="single" w:sz="4" w:space="0" w:color="auto"/>
              <w:bottom w:val="single" w:sz="4" w:space="0" w:color="auto"/>
              <w:right w:val="single" w:sz="4" w:space="0" w:color="auto"/>
            </w:tcBorders>
            <w:vAlign w:val="center"/>
            <w:hideMark/>
          </w:tcPr>
          <w:p w14:paraId="2FC980CD" w14:textId="3D62B1CD" w:rsidR="00836D15" w:rsidRPr="007504E6" w:rsidRDefault="00836D15" w:rsidP="00836D15">
            <w:pPr>
              <w:ind w:firstLine="0"/>
              <w:jc w:val="center"/>
              <w:rPr>
                <w:rFonts w:ascii="Times New Roman" w:hAnsi="Times New Roman" w:cs="Times New Roman"/>
                <w:lang w:val="en-GB"/>
              </w:rPr>
            </w:pPr>
            <w:r w:rsidRPr="007504E6">
              <w:rPr>
                <w:lang w:val="en-GB"/>
              </w:rPr>
              <w:t>+ 5.7% to + 3.6%</w:t>
            </w:r>
          </w:p>
        </w:tc>
      </w:tr>
    </w:tbl>
    <w:p w14:paraId="74FA1FFC" w14:textId="77777777" w:rsidR="00642132" w:rsidRPr="007504E6" w:rsidRDefault="00642132" w:rsidP="0010246A">
      <w:pPr>
        <w:rPr>
          <w:rFonts w:ascii="Times New Roman" w:hAnsi="Times New Roman" w:cs="Times New Roman"/>
          <w:lang w:val="en-GB"/>
        </w:rPr>
      </w:pPr>
    </w:p>
    <w:p w14:paraId="5FB38075" w14:textId="77777777" w:rsidR="00836D15" w:rsidRPr="007504E6" w:rsidRDefault="00836D15" w:rsidP="00836D15">
      <w:pPr>
        <w:spacing w:line="276" w:lineRule="auto"/>
        <w:ind w:firstLine="0"/>
        <w:rPr>
          <w:rFonts w:ascii="Times New Roman" w:hAnsi="Times New Roman" w:cs="Times New Roman"/>
          <w:lang w:val="en-GB"/>
        </w:rPr>
      </w:pPr>
      <w:r w:rsidRPr="007504E6">
        <w:rPr>
          <w:rFonts w:ascii="Times New Roman" w:hAnsi="Times New Roman" w:cs="Times New Roman"/>
          <w:lang w:val="en-GB"/>
        </w:rPr>
        <w:t xml:space="preserve">In the period from 2021 to 2025, a further increase in the volume of construction output is forecasted at a higher annual rate than in the previous five years. Initially, in 2021 and 2022, this growth can be justified by Latvia's gradual exit from the pandemic and the impact of related epidemiological measures and market recovery, as well as by state support for warming up the economy. In the following years, further market growth is associated with large construction projects, such as the Rail </w:t>
      </w:r>
      <w:proofErr w:type="spellStart"/>
      <w:r w:rsidRPr="007504E6">
        <w:rPr>
          <w:rFonts w:ascii="Times New Roman" w:hAnsi="Times New Roman" w:cs="Times New Roman"/>
          <w:lang w:val="en-GB"/>
        </w:rPr>
        <w:t>Baltica</w:t>
      </w:r>
      <w:proofErr w:type="spellEnd"/>
      <w:r w:rsidRPr="007504E6">
        <w:rPr>
          <w:rFonts w:ascii="Times New Roman" w:hAnsi="Times New Roman" w:cs="Times New Roman"/>
          <w:lang w:val="en-GB"/>
        </w:rPr>
        <w:t xml:space="preserve"> project, entering the active construction phase.</w:t>
      </w:r>
    </w:p>
    <w:p w14:paraId="0453F381" w14:textId="77777777" w:rsidR="00836D15" w:rsidRPr="007504E6" w:rsidRDefault="00836D15" w:rsidP="00836D15">
      <w:pPr>
        <w:spacing w:line="276" w:lineRule="auto"/>
        <w:ind w:firstLine="0"/>
        <w:rPr>
          <w:rFonts w:ascii="Times New Roman" w:hAnsi="Times New Roman" w:cs="Times New Roman"/>
          <w:lang w:val="en-GB"/>
        </w:rPr>
      </w:pPr>
    </w:p>
    <w:p w14:paraId="43251F68" w14:textId="6670F4ED" w:rsidR="00EA6F89" w:rsidRPr="007504E6" w:rsidRDefault="00836D15" w:rsidP="00836D15">
      <w:pPr>
        <w:spacing w:line="276" w:lineRule="auto"/>
        <w:ind w:firstLine="0"/>
        <w:rPr>
          <w:rFonts w:ascii="Times New Roman" w:hAnsi="Times New Roman" w:cs="Times New Roman"/>
          <w:lang w:val="en-GB"/>
        </w:rPr>
      </w:pPr>
      <w:r w:rsidRPr="007504E6">
        <w:rPr>
          <w:rFonts w:ascii="Times New Roman" w:hAnsi="Times New Roman" w:cs="Times New Roman"/>
          <w:lang w:val="en-GB"/>
        </w:rPr>
        <w:t>A significant jump in construction costs is expected as early as 2021, which will be less pronounced in the coming years, but still significantly higher than in the last decade. The significant increase in costs is primarily due to the increase in the prices of construction materials, mainly timber and metal products. Taking into account the very unusual situation in the building materials market in Latvia in 2021, the assessments of experts also differed radically. This can be explained by various experiences and specifics of work, as well as by a high level of uncertainty during the research - in May-July 2021. During this period, construction material prices had peaked, but in the reporting phase, price adjustments were already observed in some markets, such as the US timber exchanges. Consequently, there is also a significant variation between the experts' view, which on average predicted an increase in construction costs of 11.4% and the combined methodology forecast that they would increase on average by 6.6%. If the global supply of timber and metals increases in the second half of 2021 and demand stabilizes or decreases, then the 6.6% forecast is more plausible. On the other hand, double-digit cost increases will be more likely in the event of problems with logistics channels and the supply of raw materials on world markets due to speculative reasons or exceptional circumstances</w:t>
      </w:r>
      <w:r w:rsidR="003405ED" w:rsidRPr="007504E6">
        <w:rPr>
          <w:rFonts w:ascii="Times New Roman" w:hAnsi="Times New Roman" w:cs="Times New Roman"/>
          <w:lang w:val="en-GB"/>
        </w:rPr>
        <w:t>.</w:t>
      </w:r>
    </w:p>
    <w:p w14:paraId="2E53AA30" w14:textId="77777777" w:rsidR="00B9247E" w:rsidRPr="007504E6" w:rsidRDefault="00B9247E" w:rsidP="00B9247E">
      <w:pPr>
        <w:spacing w:line="276" w:lineRule="auto"/>
        <w:ind w:firstLine="0"/>
        <w:rPr>
          <w:rFonts w:ascii="Times New Roman" w:hAnsi="Times New Roman" w:cs="Times New Roman"/>
          <w:lang w:val="en-GB"/>
        </w:rPr>
      </w:pPr>
    </w:p>
    <w:p w14:paraId="2040A251" w14:textId="77777777" w:rsidR="00836D15" w:rsidRPr="007504E6" w:rsidRDefault="00836D15" w:rsidP="00836D15">
      <w:pPr>
        <w:spacing w:line="276" w:lineRule="auto"/>
        <w:ind w:firstLine="0"/>
        <w:rPr>
          <w:rFonts w:ascii="Times New Roman" w:hAnsi="Times New Roman" w:cs="Times New Roman"/>
          <w:lang w:val="en-GB"/>
        </w:rPr>
      </w:pPr>
      <w:r w:rsidRPr="007504E6">
        <w:rPr>
          <w:rFonts w:ascii="Times New Roman" w:hAnsi="Times New Roman" w:cs="Times New Roman"/>
          <w:lang w:val="en-GB"/>
        </w:rPr>
        <w:t>A topical issue is the possibility of overheating of the construction industry in the period under review. Within the framework of the study, performing a retrospective on changes in the volume of construction output and changes in construction costs, trends in the bubble of the construction industry and overheating of the market in 2007-2008 were considered. This was followed by the economic downturn and the crisis not only in the construction sector, but in the entire Latvian economy. Based on the relationship between changes in the volume of construction output and changes in costs, risk areas were identified that characterize the probability of conditional overheating risks. Unlike the previous recession, this time the economy was negatively affected by the global pandemic and the consequences of measures taken to combat it. Also, towards the end of the pandemic, new risks emerge in the form of overly intensive economic recovery measures, which could lead to excessive inflation. Therefore, it is important to observe whether similar trends exist.</w:t>
      </w:r>
    </w:p>
    <w:p w14:paraId="6A9FD158" w14:textId="77777777" w:rsidR="00836D15" w:rsidRPr="007504E6" w:rsidRDefault="00836D15" w:rsidP="00836D15">
      <w:pPr>
        <w:spacing w:line="276" w:lineRule="auto"/>
        <w:ind w:firstLine="0"/>
        <w:rPr>
          <w:rFonts w:ascii="Times New Roman" w:hAnsi="Times New Roman" w:cs="Times New Roman"/>
          <w:lang w:val="en-GB"/>
        </w:rPr>
      </w:pPr>
    </w:p>
    <w:p w14:paraId="44EF314E" w14:textId="774317E6" w:rsidR="00D160E2" w:rsidRPr="007504E6" w:rsidRDefault="00836D15" w:rsidP="00836D15">
      <w:pPr>
        <w:spacing w:line="276" w:lineRule="auto"/>
        <w:ind w:firstLine="0"/>
        <w:rPr>
          <w:rFonts w:ascii="Times New Roman" w:hAnsi="Times New Roman" w:cs="Times New Roman"/>
          <w:lang w:val="en-GB"/>
        </w:rPr>
      </w:pPr>
      <w:r w:rsidRPr="007504E6">
        <w:rPr>
          <w:rFonts w:ascii="Times New Roman" w:hAnsi="Times New Roman" w:cs="Times New Roman"/>
          <w:lang w:val="en-GB"/>
        </w:rPr>
        <w:t xml:space="preserve">In the scenario, if the total demand for construction products in the market increases, an increased demand for </w:t>
      </w:r>
      <w:proofErr w:type="spellStart"/>
      <w:r w:rsidRPr="007504E6">
        <w:rPr>
          <w:rFonts w:ascii="Times New Roman" w:hAnsi="Times New Roman" w:cs="Times New Roman"/>
          <w:lang w:val="en-GB"/>
        </w:rPr>
        <w:t>labor</w:t>
      </w:r>
      <w:proofErr w:type="spellEnd"/>
      <w:r w:rsidRPr="007504E6">
        <w:rPr>
          <w:rFonts w:ascii="Times New Roman" w:hAnsi="Times New Roman" w:cs="Times New Roman"/>
          <w:lang w:val="en-GB"/>
        </w:rPr>
        <w:t>, construction materials and other resources is expected. If the market is unable to provide entrepreneurs with the necessary resources, a situation arises with increasing demand and constant supply, which leads to an increase in supply prices. In such a situation, if costs increase more slowly than output, the situation is considered normal. On the other hand, if the increase in costs starts to approach or even exceeds the growth of production, then it may be an indicator of too rapid growth of demand. In this case, there is a risk of overheating, which could be followed by a market correction, which would mean a sharp drop in demand - a downturn</w:t>
      </w:r>
      <w:r w:rsidR="004002F0" w:rsidRPr="007504E6">
        <w:rPr>
          <w:rFonts w:ascii="Times New Roman" w:hAnsi="Times New Roman" w:cs="Times New Roman"/>
          <w:lang w:val="en-GB"/>
        </w:rPr>
        <w:t>.</w:t>
      </w:r>
    </w:p>
    <w:p w14:paraId="7FC954D2" w14:textId="185FDD89" w:rsidR="000E44AC" w:rsidRPr="007504E6" w:rsidRDefault="000E44AC" w:rsidP="00B9247E">
      <w:pPr>
        <w:spacing w:line="276" w:lineRule="auto"/>
        <w:rPr>
          <w:rFonts w:ascii="Times New Roman" w:hAnsi="Times New Roman" w:cs="Times New Roman"/>
          <w:lang w:val="en-GB"/>
        </w:rPr>
      </w:pPr>
    </w:p>
    <w:p w14:paraId="6BBCA0C7" w14:textId="22CA58E6" w:rsidR="00AA6711" w:rsidRPr="007504E6" w:rsidRDefault="009863A9" w:rsidP="00B9247E">
      <w:pPr>
        <w:keepNext/>
        <w:spacing w:line="276" w:lineRule="auto"/>
        <w:rPr>
          <w:rFonts w:ascii="Times New Roman" w:hAnsi="Times New Roman" w:cs="Times New Roman"/>
          <w:lang w:val="en-GB"/>
        </w:rPr>
      </w:pPr>
      <w:r w:rsidRPr="007504E6">
        <w:rPr>
          <w:rFonts w:ascii="Times New Roman" w:hAnsi="Times New Roman" w:cs="Times New Roman"/>
          <w:noProof/>
          <w:lang w:val="en-GB"/>
        </w:rPr>
        <w:drawing>
          <wp:inline distT="0" distB="0" distL="0" distR="0" wp14:anchorId="0ED3DDFC" wp14:editId="639A7EC4">
            <wp:extent cx="3732923" cy="3429806"/>
            <wp:effectExtent l="0" t="0" r="127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44965" cy="3440870"/>
                    </a:xfrm>
                    <a:prstGeom prst="rect">
                      <a:avLst/>
                    </a:prstGeom>
                  </pic:spPr>
                </pic:pic>
              </a:graphicData>
            </a:graphic>
          </wp:inline>
        </w:drawing>
      </w:r>
    </w:p>
    <w:p w14:paraId="46215ECC" w14:textId="063BBB25" w:rsidR="00B9247E" w:rsidRPr="007504E6" w:rsidRDefault="00836D15" w:rsidP="005F622A">
      <w:pPr>
        <w:pStyle w:val="Parakstszemobjekta"/>
        <w:jc w:val="center"/>
        <w:rPr>
          <w:rFonts w:ascii="Times New Roman" w:hAnsi="Times New Roman" w:cs="Times New Roman"/>
          <w:lang w:val="en-GB"/>
        </w:rPr>
      </w:pPr>
      <w:r w:rsidRPr="007504E6">
        <w:rPr>
          <w:lang w:val="en-GB"/>
        </w:rPr>
        <w:t>Fig</w:t>
      </w:r>
      <w:r w:rsidR="001B0C98" w:rsidRPr="007504E6">
        <w:rPr>
          <w:lang w:val="en-GB"/>
        </w:rPr>
        <w:t xml:space="preserve"> </w:t>
      </w:r>
      <w:r w:rsidR="00D64210" w:rsidRPr="007504E6">
        <w:rPr>
          <w:lang w:val="en-GB"/>
        </w:rPr>
        <w:fldChar w:fldCharType="begin"/>
      </w:r>
      <w:r w:rsidR="00D64210" w:rsidRPr="007504E6">
        <w:rPr>
          <w:lang w:val="en-GB"/>
        </w:rPr>
        <w:instrText xml:space="preserve"> SEQ Attēls \* ARABIC </w:instrText>
      </w:r>
      <w:r w:rsidR="00D64210" w:rsidRPr="007504E6">
        <w:rPr>
          <w:lang w:val="en-GB"/>
        </w:rPr>
        <w:fldChar w:fldCharType="separate"/>
      </w:r>
      <w:r w:rsidR="00D500F7">
        <w:rPr>
          <w:noProof/>
          <w:lang w:val="en-GB"/>
        </w:rPr>
        <w:t>4</w:t>
      </w:r>
      <w:r w:rsidR="00D64210" w:rsidRPr="007504E6">
        <w:rPr>
          <w:noProof/>
          <w:lang w:val="en-GB"/>
        </w:rPr>
        <w:fldChar w:fldCharType="end"/>
      </w:r>
      <w:r w:rsidR="001B0C98" w:rsidRPr="007504E6">
        <w:rPr>
          <w:lang w:val="en-GB"/>
        </w:rPr>
        <w:t xml:space="preserve">. </w:t>
      </w:r>
      <w:r w:rsidR="003547A7" w:rsidRPr="007504E6">
        <w:rPr>
          <w:rFonts w:ascii="Times New Roman" w:hAnsi="Times New Roman" w:cs="Times New Roman"/>
          <w:lang w:val="en-GB"/>
        </w:rPr>
        <w:t>Simulation of overheating of the construction industry at different variants of changes in the volume and cost of construction output by extrapolating expert estimates and forecasts and the situation of the previous recession. The years are given according to the combined forecast</w:t>
      </w:r>
      <w:r w:rsidR="00AA6711" w:rsidRPr="007504E6">
        <w:rPr>
          <w:rFonts w:ascii="Times New Roman" w:hAnsi="Times New Roman" w:cs="Times New Roman"/>
          <w:lang w:val="en-GB"/>
        </w:rPr>
        <w:t>.</w:t>
      </w:r>
    </w:p>
    <w:p w14:paraId="363A972D" w14:textId="77777777" w:rsidR="003547A7" w:rsidRPr="007504E6" w:rsidRDefault="003547A7" w:rsidP="003547A7">
      <w:pPr>
        <w:spacing w:line="276" w:lineRule="auto"/>
        <w:ind w:firstLine="0"/>
        <w:rPr>
          <w:rFonts w:ascii="Times New Roman" w:hAnsi="Times New Roman" w:cs="Times New Roman"/>
          <w:lang w:val="en-GB"/>
        </w:rPr>
      </w:pPr>
      <w:r w:rsidRPr="007504E6">
        <w:rPr>
          <w:rFonts w:ascii="Times New Roman" w:hAnsi="Times New Roman" w:cs="Times New Roman"/>
          <w:lang w:val="en-GB"/>
        </w:rPr>
        <w:t>Based on the obtained forecasts for the period from 2021 to 2025, there is a tendency for the construction industry to move along the risk of overheating and then move away from it. In the period from 2020 to 2021, the construction sector is showing relatively high signs of overheating, which manifests itself in an increase in costs faster than an increase in the volume of construction output. However, in 2021 the risk of overheating can be considered to be the highest and in the following years, until 2025, this risk will decrease based on current forecasts.</w:t>
      </w:r>
    </w:p>
    <w:p w14:paraId="00C65BD0" w14:textId="77777777" w:rsidR="003547A7" w:rsidRPr="007504E6" w:rsidRDefault="003547A7" w:rsidP="003547A7">
      <w:pPr>
        <w:spacing w:line="276" w:lineRule="auto"/>
        <w:ind w:firstLine="0"/>
        <w:rPr>
          <w:rFonts w:ascii="Times New Roman" w:hAnsi="Times New Roman" w:cs="Times New Roman"/>
          <w:lang w:val="en-GB"/>
        </w:rPr>
      </w:pPr>
    </w:p>
    <w:p w14:paraId="54BCF275" w14:textId="77777777" w:rsidR="003547A7" w:rsidRPr="007504E6" w:rsidRDefault="003547A7" w:rsidP="003547A7">
      <w:pPr>
        <w:spacing w:line="276" w:lineRule="auto"/>
        <w:ind w:firstLine="0"/>
        <w:rPr>
          <w:rFonts w:ascii="Times New Roman" w:hAnsi="Times New Roman" w:cs="Times New Roman"/>
          <w:lang w:val="en-GB"/>
        </w:rPr>
      </w:pPr>
      <w:r w:rsidRPr="007504E6">
        <w:rPr>
          <w:rFonts w:ascii="Times New Roman" w:hAnsi="Times New Roman" w:cs="Times New Roman"/>
          <w:lang w:val="en-GB"/>
        </w:rPr>
        <w:t>One of the risks that could lead the construction industry deeper into the overheating zone is if construction materials costs do not stabilize or fall by the end of 2021 and the total annual increase in construction costs significantly exceeds the 6.6% increase in construction costs and 7.1% in the combined forecast. increase in the cost of building materials. The occurrence of these facts will be identifiable in early 2022, when data on actual construction expenditure will be available.</w:t>
      </w:r>
    </w:p>
    <w:p w14:paraId="6FAE5FAC" w14:textId="77777777" w:rsidR="003547A7" w:rsidRPr="007504E6" w:rsidRDefault="003547A7" w:rsidP="003547A7">
      <w:pPr>
        <w:spacing w:line="276" w:lineRule="auto"/>
        <w:ind w:firstLine="0"/>
        <w:rPr>
          <w:rFonts w:ascii="Times New Roman" w:hAnsi="Times New Roman" w:cs="Times New Roman"/>
          <w:lang w:val="en-GB"/>
        </w:rPr>
      </w:pPr>
    </w:p>
    <w:p w14:paraId="7BD52627" w14:textId="0F9947BE" w:rsidR="005D77F5" w:rsidRPr="007504E6" w:rsidRDefault="003547A7" w:rsidP="003547A7">
      <w:pPr>
        <w:spacing w:line="276" w:lineRule="auto"/>
        <w:ind w:firstLine="0"/>
        <w:rPr>
          <w:rFonts w:ascii="Times New Roman" w:hAnsi="Times New Roman" w:cs="Times New Roman"/>
          <w:lang w:val="en-GB"/>
        </w:rPr>
      </w:pPr>
      <w:r w:rsidRPr="007504E6">
        <w:rPr>
          <w:rFonts w:ascii="Times New Roman" w:hAnsi="Times New Roman" w:cs="Times New Roman"/>
          <w:lang w:val="en-GB"/>
        </w:rPr>
        <w:t>Another indicator of the sector's overheating is its share of national GDP. Looking at the dynamics from 2014 to 2020, it has varied between 5.3% and 7.0% of the country's GDP at current prices</w:t>
      </w:r>
      <w:r w:rsidR="00E60704" w:rsidRPr="007504E6">
        <w:rPr>
          <w:rFonts w:ascii="Times New Roman" w:hAnsi="Times New Roman" w:cs="Times New Roman"/>
          <w:lang w:val="en-GB"/>
        </w:rPr>
        <w:t xml:space="preserve">. </w:t>
      </w:r>
    </w:p>
    <w:p w14:paraId="1F52460A" w14:textId="737CC894" w:rsidR="005F622A" w:rsidRPr="007504E6" w:rsidRDefault="003547A7" w:rsidP="005F622A">
      <w:pPr>
        <w:pStyle w:val="Parakstszemobjekta"/>
        <w:spacing w:after="0"/>
        <w:jc w:val="right"/>
        <w:rPr>
          <w:rFonts w:ascii="Times New Roman" w:hAnsi="Times New Roman" w:cs="Times New Roman"/>
          <w:lang w:val="en-GB"/>
        </w:rPr>
      </w:pPr>
      <w:r w:rsidRPr="007504E6">
        <w:rPr>
          <w:lang w:val="en-GB"/>
        </w:rPr>
        <w:t>Table</w:t>
      </w:r>
      <w:r w:rsidR="001B0C98" w:rsidRPr="007504E6">
        <w:rPr>
          <w:lang w:val="en-GB"/>
        </w:rPr>
        <w:t xml:space="preserve">  </w:t>
      </w:r>
      <w:r w:rsidR="00D64210" w:rsidRPr="007504E6">
        <w:rPr>
          <w:lang w:val="en-GB"/>
        </w:rPr>
        <w:fldChar w:fldCharType="begin"/>
      </w:r>
      <w:r w:rsidR="00D64210" w:rsidRPr="007504E6">
        <w:rPr>
          <w:lang w:val="en-GB"/>
        </w:rPr>
        <w:instrText xml:space="preserve"> SEQ Tab._ \* ARABIC </w:instrText>
      </w:r>
      <w:r w:rsidR="00D64210" w:rsidRPr="007504E6">
        <w:rPr>
          <w:lang w:val="en-GB"/>
        </w:rPr>
        <w:fldChar w:fldCharType="separate"/>
      </w:r>
      <w:r w:rsidR="00D500F7">
        <w:rPr>
          <w:noProof/>
          <w:lang w:val="en-GB"/>
        </w:rPr>
        <w:t>7</w:t>
      </w:r>
      <w:r w:rsidR="00D64210" w:rsidRPr="007504E6">
        <w:rPr>
          <w:noProof/>
          <w:lang w:val="en-GB"/>
        </w:rPr>
        <w:fldChar w:fldCharType="end"/>
      </w:r>
      <w:r w:rsidR="001B0C98" w:rsidRPr="007504E6">
        <w:rPr>
          <w:lang w:val="en-GB"/>
        </w:rPr>
        <w:t>.</w:t>
      </w:r>
      <w:r w:rsidR="00B2051D" w:rsidRPr="007504E6">
        <w:rPr>
          <w:rFonts w:ascii="Times New Roman" w:hAnsi="Times New Roman" w:cs="Times New Roman"/>
          <w:lang w:val="en-GB"/>
        </w:rPr>
        <w:t xml:space="preserve"> </w:t>
      </w:r>
    </w:p>
    <w:p w14:paraId="626D9C4C" w14:textId="36B570F0" w:rsidR="00B2051D" w:rsidRPr="007504E6" w:rsidRDefault="003547A7" w:rsidP="005F622A">
      <w:pPr>
        <w:pStyle w:val="Parakstszemobjekta"/>
        <w:spacing w:after="0"/>
        <w:jc w:val="right"/>
        <w:rPr>
          <w:rFonts w:ascii="Times New Roman" w:hAnsi="Times New Roman" w:cs="Times New Roman"/>
          <w:lang w:val="en-GB"/>
        </w:rPr>
      </w:pPr>
      <w:r w:rsidRPr="007504E6">
        <w:rPr>
          <w:rFonts w:ascii="Times New Roman" w:hAnsi="Times New Roman" w:cs="Times New Roman"/>
          <w:lang w:val="en-GB"/>
        </w:rPr>
        <w:t>The share of the construction sector in Latvia's GDP and GDP dynamics at current prices.</w:t>
      </w:r>
    </w:p>
    <w:tbl>
      <w:tblPr>
        <w:tblStyle w:val="Reatabula"/>
        <w:tblW w:w="0" w:type="auto"/>
        <w:tblLook w:val="04A0" w:firstRow="1" w:lastRow="0" w:firstColumn="1" w:lastColumn="0" w:noHBand="0" w:noVBand="1"/>
      </w:tblPr>
      <w:tblGrid>
        <w:gridCol w:w="2479"/>
        <w:gridCol w:w="934"/>
        <w:gridCol w:w="934"/>
        <w:gridCol w:w="934"/>
        <w:gridCol w:w="934"/>
        <w:gridCol w:w="934"/>
        <w:gridCol w:w="934"/>
        <w:gridCol w:w="934"/>
      </w:tblGrid>
      <w:tr w:rsidR="0093524D" w:rsidRPr="007504E6" w14:paraId="05EFF126" w14:textId="77777777" w:rsidTr="00975A76">
        <w:tc>
          <w:tcPr>
            <w:tcW w:w="2479" w:type="dxa"/>
            <w:vAlign w:val="center"/>
          </w:tcPr>
          <w:p w14:paraId="691163AC" w14:textId="32EBF423" w:rsidR="0093524D" w:rsidRPr="007504E6" w:rsidRDefault="0093524D" w:rsidP="0093524D">
            <w:pPr>
              <w:spacing w:line="276" w:lineRule="auto"/>
              <w:ind w:firstLine="0"/>
              <w:jc w:val="center"/>
              <w:rPr>
                <w:rFonts w:ascii="Times New Roman" w:hAnsi="Times New Roman" w:cs="Times New Roman"/>
                <w:sz w:val="20"/>
                <w:szCs w:val="20"/>
                <w:lang w:val="en-GB"/>
              </w:rPr>
            </w:pPr>
            <w:r w:rsidRPr="007504E6">
              <w:rPr>
                <w:sz w:val="20"/>
                <w:szCs w:val="20"/>
                <w:lang w:val="en-GB"/>
              </w:rPr>
              <w:t>Year</w:t>
            </w:r>
          </w:p>
        </w:tc>
        <w:tc>
          <w:tcPr>
            <w:tcW w:w="934" w:type="dxa"/>
            <w:vAlign w:val="center"/>
          </w:tcPr>
          <w:p w14:paraId="5B29A8EE" w14:textId="78479BE7" w:rsidR="0093524D" w:rsidRPr="007504E6" w:rsidRDefault="0093524D" w:rsidP="0093524D">
            <w:pPr>
              <w:spacing w:line="276" w:lineRule="auto"/>
              <w:ind w:firstLine="0"/>
              <w:jc w:val="center"/>
              <w:rPr>
                <w:rFonts w:ascii="Times New Roman" w:hAnsi="Times New Roman" w:cs="Times New Roman"/>
                <w:sz w:val="20"/>
                <w:szCs w:val="20"/>
                <w:lang w:val="en-GB"/>
              </w:rPr>
            </w:pPr>
            <w:r w:rsidRPr="007504E6">
              <w:rPr>
                <w:color w:val="575757"/>
                <w:sz w:val="20"/>
                <w:szCs w:val="20"/>
                <w:lang w:val="en-GB"/>
              </w:rPr>
              <w:t>2014</w:t>
            </w:r>
          </w:p>
        </w:tc>
        <w:tc>
          <w:tcPr>
            <w:tcW w:w="934" w:type="dxa"/>
            <w:vAlign w:val="center"/>
          </w:tcPr>
          <w:p w14:paraId="68429E6E" w14:textId="6E34F463" w:rsidR="0093524D" w:rsidRPr="007504E6" w:rsidRDefault="0093524D" w:rsidP="0093524D">
            <w:pPr>
              <w:spacing w:line="276" w:lineRule="auto"/>
              <w:ind w:firstLine="0"/>
              <w:jc w:val="center"/>
              <w:rPr>
                <w:rFonts w:ascii="Times New Roman" w:hAnsi="Times New Roman" w:cs="Times New Roman"/>
                <w:sz w:val="20"/>
                <w:szCs w:val="20"/>
                <w:lang w:val="en-GB"/>
              </w:rPr>
            </w:pPr>
            <w:r w:rsidRPr="007504E6">
              <w:rPr>
                <w:color w:val="575757"/>
                <w:sz w:val="20"/>
                <w:szCs w:val="20"/>
                <w:lang w:val="en-GB"/>
              </w:rPr>
              <w:t>2015</w:t>
            </w:r>
          </w:p>
        </w:tc>
        <w:tc>
          <w:tcPr>
            <w:tcW w:w="934" w:type="dxa"/>
            <w:vAlign w:val="center"/>
          </w:tcPr>
          <w:p w14:paraId="5EC4D859" w14:textId="00906365" w:rsidR="0093524D" w:rsidRPr="007504E6" w:rsidRDefault="0093524D" w:rsidP="0093524D">
            <w:pPr>
              <w:spacing w:line="276" w:lineRule="auto"/>
              <w:ind w:firstLine="0"/>
              <w:jc w:val="center"/>
              <w:rPr>
                <w:rFonts w:ascii="Times New Roman" w:hAnsi="Times New Roman" w:cs="Times New Roman"/>
                <w:sz w:val="20"/>
                <w:szCs w:val="20"/>
                <w:lang w:val="en-GB"/>
              </w:rPr>
            </w:pPr>
            <w:r w:rsidRPr="007504E6">
              <w:rPr>
                <w:color w:val="575757"/>
                <w:sz w:val="20"/>
                <w:szCs w:val="20"/>
                <w:lang w:val="en-GB"/>
              </w:rPr>
              <w:t>2016</w:t>
            </w:r>
          </w:p>
        </w:tc>
        <w:tc>
          <w:tcPr>
            <w:tcW w:w="934" w:type="dxa"/>
            <w:vAlign w:val="center"/>
          </w:tcPr>
          <w:p w14:paraId="40ACA7DF" w14:textId="3E41BCAF" w:rsidR="0093524D" w:rsidRPr="007504E6" w:rsidRDefault="0093524D" w:rsidP="0093524D">
            <w:pPr>
              <w:spacing w:line="276" w:lineRule="auto"/>
              <w:ind w:firstLine="0"/>
              <w:jc w:val="center"/>
              <w:rPr>
                <w:rFonts w:ascii="Times New Roman" w:hAnsi="Times New Roman" w:cs="Times New Roman"/>
                <w:sz w:val="20"/>
                <w:szCs w:val="20"/>
                <w:lang w:val="en-GB"/>
              </w:rPr>
            </w:pPr>
            <w:r w:rsidRPr="007504E6">
              <w:rPr>
                <w:color w:val="575757"/>
                <w:sz w:val="20"/>
                <w:szCs w:val="20"/>
                <w:lang w:val="en-GB"/>
              </w:rPr>
              <w:t>2017</w:t>
            </w:r>
          </w:p>
        </w:tc>
        <w:tc>
          <w:tcPr>
            <w:tcW w:w="934" w:type="dxa"/>
            <w:vAlign w:val="center"/>
          </w:tcPr>
          <w:p w14:paraId="3AB0F22D" w14:textId="4E769D12" w:rsidR="0093524D" w:rsidRPr="007504E6" w:rsidRDefault="0093524D" w:rsidP="0093524D">
            <w:pPr>
              <w:spacing w:line="276" w:lineRule="auto"/>
              <w:ind w:firstLine="0"/>
              <w:jc w:val="center"/>
              <w:rPr>
                <w:rFonts w:ascii="Times New Roman" w:hAnsi="Times New Roman" w:cs="Times New Roman"/>
                <w:sz w:val="20"/>
                <w:szCs w:val="20"/>
                <w:lang w:val="en-GB"/>
              </w:rPr>
            </w:pPr>
            <w:r w:rsidRPr="007504E6">
              <w:rPr>
                <w:color w:val="575757"/>
                <w:sz w:val="20"/>
                <w:szCs w:val="20"/>
                <w:lang w:val="en-GB"/>
              </w:rPr>
              <w:t>2018</w:t>
            </w:r>
          </w:p>
        </w:tc>
        <w:tc>
          <w:tcPr>
            <w:tcW w:w="934" w:type="dxa"/>
            <w:vAlign w:val="center"/>
          </w:tcPr>
          <w:p w14:paraId="31476BDC" w14:textId="3774A138" w:rsidR="0093524D" w:rsidRPr="007504E6" w:rsidRDefault="0093524D" w:rsidP="0093524D">
            <w:pPr>
              <w:spacing w:line="276" w:lineRule="auto"/>
              <w:ind w:firstLine="0"/>
              <w:jc w:val="center"/>
              <w:rPr>
                <w:rFonts w:ascii="Times New Roman" w:hAnsi="Times New Roman" w:cs="Times New Roman"/>
                <w:sz w:val="20"/>
                <w:szCs w:val="20"/>
                <w:lang w:val="en-GB"/>
              </w:rPr>
            </w:pPr>
            <w:r w:rsidRPr="007504E6">
              <w:rPr>
                <w:color w:val="575757"/>
                <w:sz w:val="20"/>
                <w:szCs w:val="20"/>
                <w:lang w:val="en-GB"/>
              </w:rPr>
              <w:t>2019</w:t>
            </w:r>
          </w:p>
        </w:tc>
        <w:tc>
          <w:tcPr>
            <w:tcW w:w="934" w:type="dxa"/>
            <w:vAlign w:val="center"/>
          </w:tcPr>
          <w:p w14:paraId="1C01A3A7" w14:textId="1059A77B" w:rsidR="0093524D" w:rsidRPr="007504E6" w:rsidRDefault="0093524D" w:rsidP="0093524D">
            <w:pPr>
              <w:spacing w:line="276" w:lineRule="auto"/>
              <w:ind w:firstLine="0"/>
              <w:jc w:val="center"/>
              <w:rPr>
                <w:rFonts w:ascii="Times New Roman" w:hAnsi="Times New Roman" w:cs="Times New Roman"/>
                <w:sz w:val="20"/>
                <w:szCs w:val="20"/>
                <w:lang w:val="en-GB"/>
              </w:rPr>
            </w:pPr>
            <w:r w:rsidRPr="007504E6">
              <w:rPr>
                <w:color w:val="575757"/>
                <w:sz w:val="20"/>
                <w:szCs w:val="20"/>
                <w:lang w:val="en-GB"/>
              </w:rPr>
              <w:t>2020</w:t>
            </w:r>
          </w:p>
        </w:tc>
      </w:tr>
      <w:tr w:rsidR="0093524D" w:rsidRPr="007504E6" w14:paraId="00CC0BBF" w14:textId="77777777" w:rsidTr="00975A76">
        <w:tc>
          <w:tcPr>
            <w:tcW w:w="2479" w:type="dxa"/>
            <w:vAlign w:val="center"/>
          </w:tcPr>
          <w:p w14:paraId="6102EA1D" w14:textId="6E63B61F" w:rsidR="0093524D" w:rsidRPr="007504E6" w:rsidRDefault="0093524D" w:rsidP="0093524D">
            <w:pPr>
              <w:spacing w:line="276" w:lineRule="auto"/>
              <w:ind w:firstLine="0"/>
              <w:jc w:val="left"/>
              <w:rPr>
                <w:rFonts w:ascii="Times New Roman" w:hAnsi="Times New Roman" w:cs="Times New Roman"/>
                <w:sz w:val="20"/>
                <w:szCs w:val="20"/>
                <w:lang w:val="en-GB"/>
              </w:rPr>
            </w:pPr>
            <w:r w:rsidRPr="007504E6">
              <w:rPr>
                <w:sz w:val="20"/>
                <w:szCs w:val="20"/>
                <w:lang w:val="en-GB"/>
              </w:rPr>
              <w:t>The share of the construction sector in Latvia's GDP at current prices, per cent.</w:t>
            </w:r>
          </w:p>
        </w:tc>
        <w:tc>
          <w:tcPr>
            <w:tcW w:w="934" w:type="dxa"/>
            <w:vAlign w:val="center"/>
          </w:tcPr>
          <w:p w14:paraId="47DC33ED" w14:textId="1F4C44FB" w:rsidR="0093524D" w:rsidRPr="007504E6" w:rsidRDefault="0093524D" w:rsidP="0093524D">
            <w:pPr>
              <w:spacing w:line="276" w:lineRule="auto"/>
              <w:ind w:firstLine="0"/>
              <w:jc w:val="center"/>
              <w:rPr>
                <w:rFonts w:ascii="Times New Roman" w:hAnsi="Times New Roman" w:cs="Times New Roman"/>
                <w:sz w:val="20"/>
                <w:szCs w:val="20"/>
                <w:lang w:val="en-GB"/>
              </w:rPr>
            </w:pPr>
            <w:r w:rsidRPr="007504E6">
              <w:rPr>
                <w:sz w:val="20"/>
                <w:szCs w:val="20"/>
                <w:lang w:val="en-GB"/>
              </w:rPr>
              <w:t>6.3</w:t>
            </w:r>
          </w:p>
        </w:tc>
        <w:tc>
          <w:tcPr>
            <w:tcW w:w="934" w:type="dxa"/>
            <w:vAlign w:val="center"/>
          </w:tcPr>
          <w:p w14:paraId="65C0D952" w14:textId="1553A2AE" w:rsidR="0093524D" w:rsidRPr="007504E6" w:rsidRDefault="0093524D" w:rsidP="0093524D">
            <w:pPr>
              <w:spacing w:line="276" w:lineRule="auto"/>
              <w:ind w:firstLine="0"/>
              <w:jc w:val="center"/>
              <w:rPr>
                <w:rFonts w:ascii="Times New Roman" w:hAnsi="Times New Roman" w:cs="Times New Roman"/>
                <w:sz w:val="20"/>
                <w:szCs w:val="20"/>
                <w:lang w:val="en-GB"/>
              </w:rPr>
            </w:pPr>
            <w:r w:rsidRPr="007504E6">
              <w:rPr>
                <w:sz w:val="20"/>
                <w:szCs w:val="20"/>
                <w:lang w:val="en-GB"/>
              </w:rPr>
              <w:t>6.1</w:t>
            </w:r>
          </w:p>
        </w:tc>
        <w:tc>
          <w:tcPr>
            <w:tcW w:w="934" w:type="dxa"/>
            <w:vAlign w:val="center"/>
          </w:tcPr>
          <w:p w14:paraId="325E10E8" w14:textId="152A4E82" w:rsidR="0093524D" w:rsidRPr="007504E6" w:rsidRDefault="0093524D" w:rsidP="0093524D">
            <w:pPr>
              <w:spacing w:line="276" w:lineRule="auto"/>
              <w:ind w:firstLine="0"/>
              <w:jc w:val="center"/>
              <w:rPr>
                <w:rFonts w:ascii="Times New Roman" w:hAnsi="Times New Roman" w:cs="Times New Roman"/>
                <w:sz w:val="20"/>
                <w:szCs w:val="20"/>
                <w:lang w:val="en-GB"/>
              </w:rPr>
            </w:pPr>
            <w:r w:rsidRPr="007504E6">
              <w:rPr>
                <w:sz w:val="20"/>
                <w:szCs w:val="20"/>
                <w:lang w:val="en-GB"/>
              </w:rPr>
              <w:t>5.3</w:t>
            </w:r>
          </w:p>
        </w:tc>
        <w:tc>
          <w:tcPr>
            <w:tcW w:w="934" w:type="dxa"/>
            <w:vAlign w:val="center"/>
          </w:tcPr>
          <w:p w14:paraId="5DBB6042" w14:textId="4AD563E7" w:rsidR="0093524D" w:rsidRPr="007504E6" w:rsidRDefault="0093524D" w:rsidP="0093524D">
            <w:pPr>
              <w:spacing w:line="276" w:lineRule="auto"/>
              <w:ind w:firstLine="0"/>
              <w:jc w:val="center"/>
              <w:rPr>
                <w:rFonts w:ascii="Times New Roman" w:hAnsi="Times New Roman" w:cs="Times New Roman"/>
                <w:sz w:val="20"/>
                <w:szCs w:val="20"/>
                <w:lang w:val="en-GB"/>
              </w:rPr>
            </w:pPr>
            <w:r w:rsidRPr="007504E6">
              <w:rPr>
                <w:sz w:val="20"/>
                <w:szCs w:val="20"/>
                <w:lang w:val="en-GB"/>
              </w:rPr>
              <w:t>5.8</w:t>
            </w:r>
          </w:p>
        </w:tc>
        <w:tc>
          <w:tcPr>
            <w:tcW w:w="934" w:type="dxa"/>
            <w:vAlign w:val="center"/>
          </w:tcPr>
          <w:p w14:paraId="7868A4DB" w14:textId="322C3DB3" w:rsidR="0093524D" w:rsidRPr="007504E6" w:rsidRDefault="0093524D" w:rsidP="0093524D">
            <w:pPr>
              <w:spacing w:line="276" w:lineRule="auto"/>
              <w:ind w:firstLine="0"/>
              <w:jc w:val="center"/>
              <w:rPr>
                <w:rFonts w:ascii="Times New Roman" w:hAnsi="Times New Roman" w:cs="Times New Roman"/>
                <w:sz w:val="20"/>
                <w:szCs w:val="20"/>
                <w:lang w:val="en-GB"/>
              </w:rPr>
            </w:pPr>
            <w:r w:rsidRPr="007504E6">
              <w:rPr>
                <w:sz w:val="20"/>
                <w:szCs w:val="20"/>
                <w:lang w:val="en-GB"/>
              </w:rPr>
              <w:t>6.4</w:t>
            </w:r>
          </w:p>
        </w:tc>
        <w:tc>
          <w:tcPr>
            <w:tcW w:w="934" w:type="dxa"/>
            <w:vAlign w:val="center"/>
          </w:tcPr>
          <w:p w14:paraId="61896070" w14:textId="6935A1BD" w:rsidR="0093524D" w:rsidRPr="007504E6" w:rsidRDefault="0093524D" w:rsidP="0093524D">
            <w:pPr>
              <w:spacing w:line="276" w:lineRule="auto"/>
              <w:ind w:firstLine="0"/>
              <w:jc w:val="center"/>
              <w:rPr>
                <w:rFonts w:ascii="Times New Roman" w:hAnsi="Times New Roman" w:cs="Times New Roman"/>
                <w:sz w:val="20"/>
                <w:szCs w:val="20"/>
                <w:lang w:val="en-GB"/>
              </w:rPr>
            </w:pPr>
            <w:r w:rsidRPr="007504E6">
              <w:rPr>
                <w:sz w:val="20"/>
                <w:szCs w:val="20"/>
                <w:lang w:val="en-GB"/>
              </w:rPr>
              <w:t>6.5</w:t>
            </w:r>
          </w:p>
        </w:tc>
        <w:tc>
          <w:tcPr>
            <w:tcW w:w="934" w:type="dxa"/>
            <w:vAlign w:val="center"/>
          </w:tcPr>
          <w:p w14:paraId="6E45A4B1" w14:textId="68DD166D" w:rsidR="0093524D" w:rsidRPr="007504E6" w:rsidRDefault="0093524D" w:rsidP="0093524D">
            <w:pPr>
              <w:spacing w:line="276" w:lineRule="auto"/>
              <w:ind w:firstLine="0"/>
              <w:jc w:val="center"/>
              <w:rPr>
                <w:rFonts w:ascii="Times New Roman" w:hAnsi="Times New Roman" w:cs="Times New Roman"/>
                <w:sz w:val="20"/>
                <w:szCs w:val="20"/>
                <w:lang w:val="en-GB"/>
              </w:rPr>
            </w:pPr>
            <w:r w:rsidRPr="007504E6">
              <w:rPr>
                <w:sz w:val="20"/>
                <w:szCs w:val="20"/>
                <w:lang w:val="en-GB"/>
              </w:rPr>
              <w:t>7.0</w:t>
            </w:r>
          </w:p>
        </w:tc>
      </w:tr>
      <w:tr w:rsidR="0093524D" w:rsidRPr="007504E6" w14:paraId="246B0440" w14:textId="77777777" w:rsidTr="00975A76">
        <w:tc>
          <w:tcPr>
            <w:tcW w:w="2479" w:type="dxa"/>
            <w:vAlign w:val="center"/>
          </w:tcPr>
          <w:p w14:paraId="027445A6" w14:textId="46CA4237" w:rsidR="0093524D" w:rsidRPr="007504E6" w:rsidRDefault="0093524D" w:rsidP="0093524D">
            <w:pPr>
              <w:spacing w:line="276" w:lineRule="auto"/>
              <w:ind w:firstLine="0"/>
              <w:jc w:val="left"/>
              <w:rPr>
                <w:rFonts w:ascii="Times New Roman" w:hAnsi="Times New Roman" w:cs="Times New Roman"/>
                <w:sz w:val="20"/>
                <w:szCs w:val="20"/>
                <w:lang w:val="en-GB"/>
              </w:rPr>
            </w:pPr>
            <w:r w:rsidRPr="007504E6">
              <w:rPr>
                <w:sz w:val="20"/>
                <w:szCs w:val="20"/>
                <w:lang w:val="en-GB"/>
              </w:rPr>
              <w:t>GDP at current prices, billion euro</w:t>
            </w:r>
          </w:p>
        </w:tc>
        <w:tc>
          <w:tcPr>
            <w:tcW w:w="934" w:type="dxa"/>
            <w:vAlign w:val="center"/>
          </w:tcPr>
          <w:p w14:paraId="41A0B33E" w14:textId="39BEABD7" w:rsidR="0093524D" w:rsidRPr="007504E6" w:rsidRDefault="0093524D" w:rsidP="0093524D">
            <w:pPr>
              <w:spacing w:line="276" w:lineRule="auto"/>
              <w:ind w:firstLine="0"/>
              <w:jc w:val="center"/>
              <w:rPr>
                <w:rFonts w:ascii="Times New Roman" w:hAnsi="Times New Roman" w:cs="Times New Roman"/>
                <w:color w:val="000000"/>
                <w:sz w:val="20"/>
                <w:szCs w:val="20"/>
                <w:lang w:val="en-GB"/>
              </w:rPr>
            </w:pPr>
            <w:r w:rsidRPr="007504E6">
              <w:rPr>
                <w:sz w:val="20"/>
                <w:szCs w:val="20"/>
                <w:lang w:val="en-GB"/>
              </w:rPr>
              <w:t>23.6</w:t>
            </w:r>
          </w:p>
        </w:tc>
        <w:tc>
          <w:tcPr>
            <w:tcW w:w="934" w:type="dxa"/>
            <w:vAlign w:val="center"/>
          </w:tcPr>
          <w:p w14:paraId="4D09255F" w14:textId="59999623" w:rsidR="0093524D" w:rsidRPr="007504E6" w:rsidRDefault="0093524D" w:rsidP="0093524D">
            <w:pPr>
              <w:spacing w:line="276" w:lineRule="auto"/>
              <w:ind w:firstLine="0"/>
              <w:jc w:val="center"/>
              <w:rPr>
                <w:rFonts w:ascii="Times New Roman" w:hAnsi="Times New Roman" w:cs="Times New Roman"/>
                <w:color w:val="000000"/>
                <w:sz w:val="20"/>
                <w:szCs w:val="20"/>
                <w:lang w:val="en-GB"/>
              </w:rPr>
            </w:pPr>
            <w:r w:rsidRPr="007504E6">
              <w:rPr>
                <w:sz w:val="20"/>
                <w:szCs w:val="20"/>
                <w:lang w:val="en-GB"/>
              </w:rPr>
              <w:t>24.6</w:t>
            </w:r>
          </w:p>
        </w:tc>
        <w:tc>
          <w:tcPr>
            <w:tcW w:w="934" w:type="dxa"/>
            <w:vAlign w:val="center"/>
          </w:tcPr>
          <w:p w14:paraId="72EB81CE" w14:textId="4BD8265F" w:rsidR="0093524D" w:rsidRPr="007504E6" w:rsidRDefault="0093524D" w:rsidP="0093524D">
            <w:pPr>
              <w:spacing w:line="276" w:lineRule="auto"/>
              <w:ind w:firstLine="0"/>
              <w:jc w:val="center"/>
              <w:rPr>
                <w:rFonts w:ascii="Times New Roman" w:hAnsi="Times New Roman" w:cs="Times New Roman"/>
                <w:color w:val="000000"/>
                <w:sz w:val="20"/>
                <w:szCs w:val="20"/>
                <w:lang w:val="en-GB"/>
              </w:rPr>
            </w:pPr>
            <w:r w:rsidRPr="007504E6">
              <w:rPr>
                <w:sz w:val="20"/>
                <w:szCs w:val="20"/>
                <w:lang w:val="en-GB"/>
              </w:rPr>
              <w:t>25.4</w:t>
            </w:r>
          </w:p>
        </w:tc>
        <w:tc>
          <w:tcPr>
            <w:tcW w:w="934" w:type="dxa"/>
            <w:vAlign w:val="center"/>
          </w:tcPr>
          <w:p w14:paraId="4FDFA2F0" w14:textId="762C8904" w:rsidR="0093524D" w:rsidRPr="007504E6" w:rsidRDefault="0093524D" w:rsidP="0093524D">
            <w:pPr>
              <w:spacing w:line="276" w:lineRule="auto"/>
              <w:ind w:firstLine="0"/>
              <w:jc w:val="center"/>
              <w:rPr>
                <w:rFonts w:ascii="Times New Roman" w:hAnsi="Times New Roman" w:cs="Times New Roman"/>
                <w:color w:val="000000"/>
                <w:sz w:val="20"/>
                <w:szCs w:val="20"/>
                <w:lang w:val="en-GB"/>
              </w:rPr>
            </w:pPr>
            <w:r w:rsidRPr="007504E6">
              <w:rPr>
                <w:sz w:val="20"/>
                <w:szCs w:val="20"/>
                <w:lang w:val="en-GB"/>
              </w:rPr>
              <w:t>27.0</w:t>
            </w:r>
          </w:p>
        </w:tc>
        <w:tc>
          <w:tcPr>
            <w:tcW w:w="934" w:type="dxa"/>
            <w:vAlign w:val="center"/>
          </w:tcPr>
          <w:p w14:paraId="517AA8A1" w14:textId="5487692D" w:rsidR="0093524D" w:rsidRPr="007504E6" w:rsidRDefault="0093524D" w:rsidP="0093524D">
            <w:pPr>
              <w:spacing w:line="276" w:lineRule="auto"/>
              <w:ind w:firstLine="0"/>
              <w:jc w:val="center"/>
              <w:rPr>
                <w:rFonts w:ascii="Times New Roman" w:hAnsi="Times New Roman" w:cs="Times New Roman"/>
                <w:color w:val="000000"/>
                <w:sz w:val="20"/>
                <w:szCs w:val="20"/>
                <w:lang w:val="en-GB"/>
              </w:rPr>
            </w:pPr>
            <w:r w:rsidRPr="007504E6">
              <w:rPr>
                <w:sz w:val="20"/>
                <w:szCs w:val="20"/>
                <w:lang w:val="en-GB"/>
              </w:rPr>
              <w:t>29.1</w:t>
            </w:r>
          </w:p>
        </w:tc>
        <w:tc>
          <w:tcPr>
            <w:tcW w:w="934" w:type="dxa"/>
            <w:vAlign w:val="center"/>
          </w:tcPr>
          <w:p w14:paraId="69A4015A" w14:textId="069317E2" w:rsidR="0093524D" w:rsidRPr="007504E6" w:rsidRDefault="0093524D" w:rsidP="0093524D">
            <w:pPr>
              <w:spacing w:line="276" w:lineRule="auto"/>
              <w:ind w:firstLine="0"/>
              <w:jc w:val="center"/>
              <w:rPr>
                <w:rFonts w:ascii="Times New Roman" w:hAnsi="Times New Roman" w:cs="Times New Roman"/>
                <w:color w:val="000000"/>
                <w:sz w:val="20"/>
                <w:szCs w:val="20"/>
                <w:lang w:val="en-GB"/>
              </w:rPr>
            </w:pPr>
            <w:r w:rsidRPr="007504E6">
              <w:rPr>
                <w:sz w:val="20"/>
                <w:szCs w:val="20"/>
                <w:lang w:val="en-GB"/>
              </w:rPr>
              <w:t>30.4</w:t>
            </w:r>
          </w:p>
        </w:tc>
        <w:tc>
          <w:tcPr>
            <w:tcW w:w="934" w:type="dxa"/>
            <w:vAlign w:val="center"/>
          </w:tcPr>
          <w:p w14:paraId="53D4C3DE" w14:textId="4DAFEB16" w:rsidR="0093524D" w:rsidRPr="007504E6" w:rsidRDefault="0093524D" w:rsidP="0093524D">
            <w:pPr>
              <w:spacing w:line="276" w:lineRule="auto"/>
              <w:ind w:firstLine="0"/>
              <w:jc w:val="center"/>
              <w:rPr>
                <w:rFonts w:ascii="Times New Roman" w:hAnsi="Times New Roman" w:cs="Times New Roman"/>
                <w:color w:val="000000"/>
                <w:sz w:val="20"/>
                <w:szCs w:val="20"/>
                <w:lang w:val="en-GB"/>
              </w:rPr>
            </w:pPr>
            <w:r w:rsidRPr="007504E6">
              <w:rPr>
                <w:sz w:val="20"/>
                <w:szCs w:val="20"/>
                <w:lang w:val="en-GB"/>
              </w:rPr>
              <w:t>29.3</w:t>
            </w:r>
          </w:p>
        </w:tc>
      </w:tr>
    </w:tbl>
    <w:p w14:paraId="0858DD31" w14:textId="77777777" w:rsidR="0001595C" w:rsidRPr="007504E6" w:rsidRDefault="0001595C" w:rsidP="00B9247E">
      <w:pPr>
        <w:spacing w:line="276" w:lineRule="auto"/>
        <w:ind w:firstLine="0"/>
        <w:rPr>
          <w:rFonts w:ascii="Times New Roman" w:hAnsi="Times New Roman" w:cs="Times New Roman"/>
          <w:lang w:val="en-GB"/>
        </w:rPr>
      </w:pPr>
    </w:p>
    <w:p w14:paraId="7C4A08F9" w14:textId="6C92888E" w:rsidR="00BA0877" w:rsidRPr="007504E6" w:rsidRDefault="00B9278B" w:rsidP="00B9247E">
      <w:pPr>
        <w:spacing w:line="276" w:lineRule="auto"/>
        <w:ind w:firstLine="0"/>
        <w:rPr>
          <w:rFonts w:ascii="Times New Roman" w:hAnsi="Times New Roman" w:cs="Times New Roman"/>
          <w:lang w:val="en-GB"/>
        </w:rPr>
      </w:pPr>
      <w:r w:rsidRPr="007504E6">
        <w:rPr>
          <w:rFonts w:ascii="Times New Roman" w:hAnsi="Times New Roman" w:cs="Times New Roman"/>
          <w:lang w:val="en-GB"/>
        </w:rPr>
        <w:t>Based on the dynamics of the construction sector and GDP, in 2020, on the one hand, the share of the construction sector has increased critically, reaching 7%, which could be considered as a signal of overheating. However, the context of the situation must be taken into account. In 2020, the economic downturn in Latvia had already started due to the consequences of the pandemic, the total GDP decreased compared to 2019. It is necessary to assess at the expense of this reduction, and this is at the expense of the sectors that suffered directly from the COVID-19 pandemic that began in 2020, such as tourism, hospitality and catering. However, no decline was observed in the construction sector, so it is logical that as the total GDP falls and the GDP of a sector remains, its share in GDP will increase. Therefore, in this context of 2020, it cannot be unequivocally stated that this share of GDP is critical. At the same time, a recovery of all sectors could be expected in 2021 and 2022, which could again reduce the share of the construction sector in GDP to 6%</w:t>
      </w:r>
      <w:r w:rsidR="003A6596" w:rsidRPr="007504E6">
        <w:rPr>
          <w:rFonts w:ascii="Times New Roman" w:hAnsi="Times New Roman" w:cs="Times New Roman"/>
          <w:lang w:val="en-GB"/>
        </w:rPr>
        <w:t>.</w:t>
      </w:r>
    </w:p>
    <w:p w14:paraId="2D97A5D4" w14:textId="77777777" w:rsidR="005D77F5" w:rsidRPr="007504E6" w:rsidRDefault="005D77F5" w:rsidP="00B9247E">
      <w:pPr>
        <w:spacing w:line="276" w:lineRule="auto"/>
        <w:ind w:firstLine="0"/>
        <w:rPr>
          <w:rFonts w:ascii="Times New Roman" w:hAnsi="Times New Roman" w:cs="Times New Roman"/>
          <w:lang w:val="en-GB"/>
        </w:rPr>
      </w:pPr>
    </w:p>
    <w:p w14:paraId="36B2B078" w14:textId="3C49624D" w:rsidR="00CE56BE" w:rsidRPr="007504E6" w:rsidRDefault="00D64210" w:rsidP="00B9247E">
      <w:pPr>
        <w:spacing w:line="276" w:lineRule="auto"/>
        <w:ind w:firstLine="0"/>
        <w:rPr>
          <w:rFonts w:ascii="Times New Roman" w:hAnsi="Times New Roman" w:cs="Times New Roman"/>
          <w:b/>
          <w:bCs/>
          <w:lang w:val="en-GB"/>
        </w:rPr>
      </w:pPr>
      <w:r w:rsidRPr="007504E6">
        <w:rPr>
          <w:rFonts w:ascii="Times New Roman" w:hAnsi="Times New Roman" w:cs="Times New Roman"/>
          <w:b/>
          <w:bCs/>
          <w:lang w:val="en-GB"/>
        </w:rPr>
        <w:t>Construction order structure dynamics</w:t>
      </w:r>
    </w:p>
    <w:p w14:paraId="6AF86B54" w14:textId="573A6562" w:rsidR="00DA3609" w:rsidRPr="007504E6" w:rsidRDefault="00DA3609" w:rsidP="00B9247E">
      <w:pPr>
        <w:spacing w:line="276" w:lineRule="auto"/>
        <w:ind w:firstLine="0"/>
        <w:rPr>
          <w:rFonts w:ascii="Times New Roman" w:hAnsi="Times New Roman" w:cs="Times New Roman"/>
          <w:lang w:val="en-GB"/>
        </w:rPr>
      </w:pPr>
    </w:p>
    <w:p w14:paraId="7E124089" w14:textId="77777777" w:rsidR="00D64210" w:rsidRPr="007504E6" w:rsidRDefault="00D64210" w:rsidP="00D64210">
      <w:pPr>
        <w:spacing w:line="276" w:lineRule="auto"/>
        <w:ind w:firstLine="0"/>
        <w:rPr>
          <w:rFonts w:ascii="Times New Roman" w:hAnsi="Times New Roman" w:cs="Times New Roman"/>
          <w:lang w:val="en-GB"/>
        </w:rPr>
      </w:pPr>
      <w:r w:rsidRPr="007504E6">
        <w:rPr>
          <w:rFonts w:ascii="Times New Roman" w:hAnsi="Times New Roman" w:cs="Times New Roman"/>
          <w:lang w:val="en-GB"/>
        </w:rPr>
        <w:t>The volume of construction output, which is produced annually in Latvia, can be structurally divided not only by its sub-sector, but also by the source, type, division of private and public procurement. The overview of the breakdowns of different types of funds allows to assess the dynamic trends and the share of public procurement in it. In the event of uneven development of the sector, public procurement can serve as a tool to stabilize the market through corrective action.</w:t>
      </w:r>
    </w:p>
    <w:p w14:paraId="1D42CE6C" w14:textId="77777777" w:rsidR="00D64210" w:rsidRPr="007504E6" w:rsidRDefault="00D64210" w:rsidP="00D64210">
      <w:pPr>
        <w:spacing w:line="276" w:lineRule="auto"/>
        <w:ind w:firstLine="0"/>
        <w:rPr>
          <w:rFonts w:ascii="Times New Roman" w:hAnsi="Times New Roman" w:cs="Times New Roman"/>
          <w:lang w:val="en-GB"/>
        </w:rPr>
      </w:pPr>
    </w:p>
    <w:p w14:paraId="59236064" w14:textId="26F5B903" w:rsidR="00F60AE9" w:rsidRPr="007504E6" w:rsidRDefault="00D64210" w:rsidP="00D64210">
      <w:pPr>
        <w:spacing w:line="276" w:lineRule="auto"/>
        <w:ind w:firstLine="0"/>
        <w:rPr>
          <w:rFonts w:ascii="Times New Roman" w:hAnsi="Times New Roman" w:cs="Times New Roman"/>
          <w:lang w:val="en-GB"/>
        </w:rPr>
      </w:pPr>
      <w:r w:rsidRPr="007504E6">
        <w:rPr>
          <w:rFonts w:ascii="Times New Roman" w:hAnsi="Times New Roman" w:cs="Times New Roman"/>
          <w:lang w:val="en-GB"/>
        </w:rPr>
        <w:t>Looking at trends in the sector, one of the data sources available to researchers is the amounts according to the Cohesion Policy Management Information System and the EU Structural Funds and Cohesion Fund Management Information System for approved interim and final project payments, which summarize all project funding sources (both EU funds and national co-financing)</w:t>
      </w:r>
      <w:r w:rsidR="00BB4A4A" w:rsidRPr="007504E6">
        <w:rPr>
          <w:rFonts w:ascii="Times New Roman" w:hAnsi="Times New Roman" w:cs="Times New Roman"/>
          <w:lang w:val="en-GB"/>
        </w:rPr>
        <w:t xml:space="preserve">. </w:t>
      </w:r>
    </w:p>
    <w:p w14:paraId="498EA1F7" w14:textId="7FE84F54" w:rsidR="00293DAC" w:rsidRPr="007504E6" w:rsidRDefault="00293DAC" w:rsidP="00B9247E">
      <w:pPr>
        <w:spacing w:line="276" w:lineRule="auto"/>
        <w:ind w:firstLine="0"/>
        <w:rPr>
          <w:rFonts w:ascii="Times New Roman" w:hAnsi="Times New Roman" w:cs="Times New Roman"/>
          <w:lang w:val="en-GB"/>
        </w:rPr>
      </w:pPr>
    </w:p>
    <w:p w14:paraId="5D00BA0A" w14:textId="60AC3E09" w:rsidR="001738A3" w:rsidRPr="007504E6" w:rsidRDefault="004657D2" w:rsidP="001738A3">
      <w:pPr>
        <w:keepNext/>
        <w:spacing w:line="276" w:lineRule="auto"/>
        <w:ind w:firstLine="0"/>
        <w:rPr>
          <w:rFonts w:ascii="Times New Roman" w:hAnsi="Times New Roman" w:cs="Times New Roman"/>
          <w:lang w:val="en-GB"/>
        </w:rPr>
      </w:pPr>
      <w:r w:rsidRPr="007504E6">
        <w:rPr>
          <w:noProof/>
          <w:lang w:val="en-GB"/>
        </w:rPr>
        <w:drawing>
          <wp:inline distT="0" distB="0" distL="0" distR="0" wp14:anchorId="4AD4DC53" wp14:editId="4BEC64E4">
            <wp:extent cx="5732145" cy="3764280"/>
            <wp:effectExtent l="0" t="0" r="1905" b="7620"/>
            <wp:docPr id="221" name="Chart 221">
              <a:extLst xmlns:a="http://schemas.openxmlformats.org/drawingml/2006/main">
                <a:ext uri="{FF2B5EF4-FFF2-40B4-BE49-F238E27FC236}">
                  <a16:creationId xmlns:a16="http://schemas.microsoft.com/office/drawing/2014/main" id="{6B0525D1-3283-4456-A49E-55B93AC1CE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45EA6D7" w14:textId="3F836FEA" w:rsidR="001738A3" w:rsidRPr="007504E6" w:rsidRDefault="00B1760C" w:rsidP="005F622A">
      <w:pPr>
        <w:pStyle w:val="Parakstszemobjekta"/>
        <w:jc w:val="center"/>
        <w:rPr>
          <w:rFonts w:ascii="Times New Roman" w:hAnsi="Times New Roman" w:cs="Times New Roman"/>
          <w:lang w:val="en-GB"/>
        </w:rPr>
      </w:pPr>
      <w:r w:rsidRPr="007504E6">
        <w:rPr>
          <w:lang w:val="en-GB"/>
        </w:rPr>
        <w:t>Fig</w:t>
      </w:r>
      <w:r w:rsidR="001B0C98" w:rsidRPr="007504E6">
        <w:rPr>
          <w:lang w:val="en-GB"/>
        </w:rPr>
        <w:t xml:space="preserve"> </w:t>
      </w:r>
      <w:r w:rsidR="00D64210" w:rsidRPr="007504E6">
        <w:rPr>
          <w:lang w:val="en-GB"/>
        </w:rPr>
        <w:fldChar w:fldCharType="begin"/>
      </w:r>
      <w:r w:rsidR="00D64210" w:rsidRPr="007504E6">
        <w:rPr>
          <w:lang w:val="en-GB"/>
        </w:rPr>
        <w:instrText xml:space="preserve"> SEQ Attēls \* ARABIC </w:instrText>
      </w:r>
      <w:r w:rsidR="00D64210" w:rsidRPr="007504E6">
        <w:rPr>
          <w:lang w:val="en-GB"/>
        </w:rPr>
        <w:fldChar w:fldCharType="separate"/>
      </w:r>
      <w:r w:rsidR="00D500F7">
        <w:rPr>
          <w:noProof/>
          <w:lang w:val="en-GB"/>
        </w:rPr>
        <w:t>5</w:t>
      </w:r>
      <w:r w:rsidR="00D64210" w:rsidRPr="007504E6">
        <w:rPr>
          <w:noProof/>
          <w:lang w:val="en-GB"/>
        </w:rPr>
        <w:fldChar w:fldCharType="end"/>
      </w:r>
      <w:r w:rsidR="001B0C98" w:rsidRPr="007504E6">
        <w:rPr>
          <w:lang w:val="en-GB"/>
        </w:rPr>
        <w:t xml:space="preserve">. </w:t>
      </w:r>
      <w:r w:rsidR="00E81AF6" w:rsidRPr="007504E6">
        <w:rPr>
          <w:rFonts w:ascii="Times New Roman" w:hAnsi="Times New Roman" w:cs="Times New Roman"/>
          <w:lang w:val="en-GB"/>
        </w:rPr>
        <w:t>Volume of construction output and volume of EU fund projects in 2015-2020. approved payments in 2021-2023. and the projected volume of construction output in 2021-2023. per year, in millions of euros. Source: Data compiled by the Ministry of Finance 2021</w:t>
      </w:r>
      <w:r w:rsidR="00D575B4" w:rsidRPr="007504E6">
        <w:rPr>
          <w:rFonts w:ascii="Times New Roman" w:hAnsi="Times New Roman" w:cs="Times New Roman"/>
          <w:lang w:val="en-GB"/>
        </w:rPr>
        <w:t>.</w:t>
      </w:r>
    </w:p>
    <w:p w14:paraId="0786156F" w14:textId="77777777" w:rsidR="002C0988" w:rsidRPr="007504E6" w:rsidRDefault="002C0988" w:rsidP="00B9247E">
      <w:pPr>
        <w:spacing w:line="276" w:lineRule="auto"/>
        <w:ind w:firstLine="0"/>
        <w:rPr>
          <w:rFonts w:ascii="Times New Roman" w:hAnsi="Times New Roman" w:cs="Times New Roman"/>
          <w:lang w:val="en-GB"/>
        </w:rPr>
      </w:pPr>
    </w:p>
    <w:p w14:paraId="6053E8F4" w14:textId="043697FE" w:rsidR="00E81AF6" w:rsidRPr="007504E6" w:rsidRDefault="00E81AF6" w:rsidP="00E81AF6">
      <w:pPr>
        <w:spacing w:line="276" w:lineRule="auto"/>
        <w:ind w:firstLine="0"/>
        <w:rPr>
          <w:rFonts w:ascii="Times New Roman" w:hAnsi="Times New Roman" w:cs="Times New Roman"/>
          <w:lang w:val="en-GB"/>
        </w:rPr>
      </w:pPr>
      <w:r w:rsidRPr="007504E6">
        <w:rPr>
          <w:rFonts w:ascii="Times New Roman" w:hAnsi="Times New Roman" w:cs="Times New Roman"/>
          <w:lang w:val="en-GB"/>
        </w:rPr>
        <w:t>Based on this distribution, it is possible to assess the importance of EU fund projects in the total volume of construction output, which in the period from 2016 has reached its highest level of 534 million EUR, if we look at the total expenditure on construction-related projects implemented only by public institutions, and 906 million. if the total expenditure of both public and private institutions on construction-related projects is taken into account. Current data 2019-2020. points to the contribution of European Union funds in the construction sector in the range of 600-700 million.</w:t>
      </w:r>
    </w:p>
    <w:p w14:paraId="0E1CC84A" w14:textId="77777777" w:rsidR="00E81AF6" w:rsidRPr="007504E6" w:rsidRDefault="00E81AF6" w:rsidP="00E81AF6">
      <w:pPr>
        <w:spacing w:line="276" w:lineRule="auto"/>
        <w:ind w:firstLine="0"/>
        <w:rPr>
          <w:rFonts w:ascii="Times New Roman" w:hAnsi="Times New Roman" w:cs="Times New Roman"/>
          <w:lang w:val="en-GB"/>
        </w:rPr>
      </w:pPr>
    </w:p>
    <w:p w14:paraId="4D06D4B4" w14:textId="58B93020" w:rsidR="002006E6" w:rsidRPr="007504E6" w:rsidRDefault="00E81AF6" w:rsidP="00E81AF6">
      <w:pPr>
        <w:spacing w:line="276" w:lineRule="auto"/>
        <w:ind w:firstLine="0"/>
        <w:rPr>
          <w:rFonts w:ascii="Times New Roman" w:hAnsi="Times New Roman" w:cs="Times New Roman"/>
          <w:lang w:val="en-GB"/>
        </w:rPr>
      </w:pPr>
      <w:r w:rsidRPr="007504E6">
        <w:rPr>
          <w:rFonts w:ascii="Times New Roman" w:hAnsi="Times New Roman" w:cs="Times New Roman"/>
          <w:lang w:val="en-GB"/>
        </w:rPr>
        <w:t>A topical issue in this context is the European Recovery Fund support grant to Latvia, which was submitted for 1.82 billion. in the amount of 65%, of which 65% are intended for the construction of infrastructure objects, therefore they can be attributed to support for the construction sector. This proportion is equivalent to 1.183 billion euros. This support is for the period up to 2026, so it can be assumed that this amount will be spread over about 5 years, averaging 237 million euros per year. Based on the actual volume of construction output in 2020, this amount would make up 9.8% of the total volume of construction. Applying it to the volume of construction output projected in the Study, this amount would make up about one tenth of the industry's projected turnover, which is a marginal factor influencing the growth of the total industry.</w:t>
      </w:r>
    </w:p>
    <w:p w14:paraId="2EF26306" w14:textId="77777777" w:rsidR="00E81AF6" w:rsidRPr="007504E6" w:rsidRDefault="00E81AF6" w:rsidP="00B9247E">
      <w:pPr>
        <w:spacing w:line="276" w:lineRule="auto"/>
        <w:ind w:firstLine="0"/>
        <w:rPr>
          <w:rFonts w:ascii="Times New Roman" w:hAnsi="Times New Roman" w:cs="Times New Roman"/>
          <w:lang w:val="en-GB"/>
        </w:rPr>
      </w:pPr>
    </w:p>
    <w:p w14:paraId="448E929C" w14:textId="1BF6F3FF" w:rsidR="001738A3" w:rsidRPr="007504E6" w:rsidRDefault="00E81AF6" w:rsidP="001738A3">
      <w:pPr>
        <w:keepNext/>
        <w:spacing w:line="276" w:lineRule="auto"/>
        <w:ind w:firstLine="0"/>
        <w:rPr>
          <w:rFonts w:ascii="Times New Roman" w:hAnsi="Times New Roman" w:cs="Times New Roman"/>
          <w:lang w:val="en-GB"/>
        </w:rPr>
      </w:pPr>
      <w:r w:rsidRPr="007504E6">
        <w:rPr>
          <w:rFonts w:ascii="Times New Roman" w:hAnsi="Times New Roman" w:cs="Times New Roman"/>
          <w:noProof/>
          <w:lang w:val="en-GB"/>
        </w:rPr>
        <w:drawing>
          <wp:inline distT="0" distB="0" distL="0" distR="0" wp14:anchorId="6BFB4232" wp14:editId="60738C06">
            <wp:extent cx="5700395" cy="2412365"/>
            <wp:effectExtent l="0" t="0" r="14605" b="6985"/>
            <wp:docPr id="199" name="Chart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30A80BF" w14:textId="4D5B835D" w:rsidR="002006E6" w:rsidRPr="007504E6" w:rsidRDefault="00CF7638" w:rsidP="001B0C98">
      <w:pPr>
        <w:pStyle w:val="Parakstszemobjekta"/>
        <w:jc w:val="center"/>
        <w:rPr>
          <w:rFonts w:ascii="Times New Roman" w:hAnsi="Times New Roman" w:cs="Times New Roman"/>
          <w:lang w:val="en-GB"/>
        </w:rPr>
      </w:pPr>
      <w:r w:rsidRPr="007504E6">
        <w:rPr>
          <w:lang w:val="en-GB"/>
        </w:rPr>
        <w:t>Fig</w:t>
      </w:r>
      <w:r w:rsidR="001B0C98" w:rsidRPr="007504E6">
        <w:rPr>
          <w:lang w:val="en-GB"/>
        </w:rPr>
        <w:t xml:space="preserve"> </w:t>
      </w:r>
      <w:r w:rsidR="00D64210" w:rsidRPr="007504E6">
        <w:rPr>
          <w:lang w:val="en-GB"/>
        </w:rPr>
        <w:fldChar w:fldCharType="begin"/>
      </w:r>
      <w:r w:rsidR="00D64210" w:rsidRPr="007504E6">
        <w:rPr>
          <w:lang w:val="en-GB"/>
        </w:rPr>
        <w:instrText xml:space="preserve"> SEQ Attēls \* ARABIC </w:instrText>
      </w:r>
      <w:r w:rsidR="00D64210" w:rsidRPr="007504E6">
        <w:rPr>
          <w:lang w:val="en-GB"/>
        </w:rPr>
        <w:fldChar w:fldCharType="separate"/>
      </w:r>
      <w:r w:rsidR="00D500F7">
        <w:rPr>
          <w:noProof/>
          <w:lang w:val="en-GB"/>
        </w:rPr>
        <w:t>6</w:t>
      </w:r>
      <w:r w:rsidR="00D64210" w:rsidRPr="007504E6">
        <w:rPr>
          <w:noProof/>
          <w:lang w:val="en-GB"/>
        </w:rPr>
        <w:fldChar w:fldCharType="end"/>
      </w:r>
      <w:r w:rsidR="001B0C98" w:rsidRPr="007504E6">
        <w:rPr>
          <w:lang w:val="en-GB"/>
        </w:rPr>
        <w:t xml:space="preserve">. </w:t>
      </w:r>
      <w:r w:rsidRPr="007504E6">
        <w:rPr>
          <w:rFonts w:ascii="Times New Roman" w:hAnsi="Times New Roman" w:cs="Times New Roman"/>
          <w:lang w:val="en-GB"/>
        </w:rPr>
        <w:t>Proportion of the average distribution of the Latvian Recovery Plan in the forecasted volume of construction output, million euro</w:t>
      </w:r>
      <w:r w:rsidR="00004FC2" w:rsidRPr="007504E6">
        <w:rPr>
          <w:rFonts w:ascii="Times New Roman" w:hAnsi="Times New Roman" w:cs="Times New Roman"/>
          <w:lang w:val="en-GB"/>
        </w:rPr>
        <w:t>.</w:t>
      </w:r>
    </w:p>
    <w:p w14:paraId="7DB86969" w14:textId="35FE3EBE" w:rsidR="002C0988" w:rsidRPr="007504E6" w:rsidRDefault="006A6114" w:rsidP="009207E9">
      <w:pPr>
        <w:spacing w:line="276" w:lineRule="auto"/>
        <w:ind w:firstLine="0"/>
        <w:rPr>
          <w:rFonts w:ascii="Times New Roman" w:hAnsi="Times New Roman" w:cs="Times New Roman"/>
          <w:lang w:val="en-GB"/>
        </w:rPr>
      </w:pPr>
      <w:r w:rsidRPr="007504E6">
        <w:rPr>
          <w:rFonts w:ascii="Times New Roman" w:hAnsi="Times New Roman" w:cs="Times New Roman"/>
          <w:lang w:val="en-GB"/>
        </w:rPr>
        <w:t xml:space="preserve">A similar significant cash flow object in the industry is the Rail </w:t>
      </w:r>
      <w:proofErr w:type="spellStart"/>
      <w:r w:rsidRPr="007504E6">
        <w:rPr>
          <w:rFonts w:ascii="Times New Roman" w:hAnsi="Times New Roman" w:cs="Times New Roman"/>
          <w:lang w:val="en-GB"/>
        </w:rPr>
        <w:t>Baltica</w:t>
      </w:r>
      <w:proofErr w:type="spellEnd"/>
      <w:r w:rsidRPr="007504E6">
        <w:rPr>
          <w:rFonts w:ascii="Times New Roman" w:hAnsi="Times New Roman" w:cs="Times New Roman"/>
          <w:lang w:val="en-GB"/>
        </w:rPr>
        <w:t xml:space="preserve"> project. Based on the study “</w:t>
      </w:r>
      <w:r w:rsidRPr="007504E6">
        <w:rPr>
          <w:rFonts w:ascii="Times New Roman" w:hAnsi="Times New Roman" w:cs="Times New Roman"/>
          <w:i/>
          <w:iCs/>
          <w:lang w:val="en-GB"/>
        </w:rPr>
        <w:t xml:space="preserve">Rail </w:t>
      </w:r>
      <w:proofErr w:type="spellStart"/>
      <w:r w:rsidRPr="007504E6">
        <w:rPr>
          <w:rFonts w:ascii="Times New Roman" w:hAnsi="Times New Roman" w:cs="Times New Roman"/>
          <w:i/>
          <w:iCs/>
          <w:lang w:val="en-GB"/>
        </w:rPr>
        <w:t>Baltica</w:t>
      </w:r>
      <w:proofErr w:type="spellEnd"/>
      <w:r w:rsidRPr="007504E6">
        <w:rPr>
          <w:rFonts w:ascii="Times New Roman" w:hAnsi="Times New Roman" w:cs="Times New Roman"/>
          <w:i/>
          <w:iCs/>
          <w:lang w:val="en-GB"/>
        </w:rPr>
        <w:t xml:space="preserve"> Global Project Cost Benefit Analysis</w:t>
      </w:r>
      <w:r w:rsidRPr="007504E6">
        <w:rPr>
          <w:rFonts w:ascii="Times New Roman" w:hAnsi="Times New Roman" w:cs="Times New Roman"/>
          <w:lang w:val="en-GB"/>
        </w:rPr>
        <w:t xml:space="preserve">” conducted by the research company “Ernst &amp; Young”, the expenditures in the territory of Latvia are estimated at 1.968 billion. in euros. Based on the fact that the construction period of Rail </w:t>
      </w:r>
      <w:proofErr w:type="spellStart"/>
      <w:r w:rsidRPr="007504E6">
        <w:rPr>
          <w:rFonts w:ascii="Times New Roman" w:hAnsi="Times New Roman" w:cs="Times New Roman"/>
          <w:lang w:val="en-GB"/>
        </w:rPr>
        <w:t>Baltica</w:t>
      </w:r>
      <w:proofErr w:type="spellEnd"/>
      <w:r w:rsidRPr="007504E6">
        <w:rPr>
          <w:rFonts w:ascii="Times New Roman" w:hAnsi="Times New Roman" w:cs="Times New Roman"/>
          <w:lang w:val="en-GB"/>
        </w:rPr>
        <w:t xml:space="preserve"> is 2019-2026. The exact trend, which is the average expenditure over 7 years, is considered. Thus, the average adjusted amount is 281 million. euros per year, which is also about one tenth of the projected turnover of the construction industry</w:t>
      </w:r>
      <w:r w:rsidR="00052326" w:rsidRPr="007504E6">
        <w:rPr>
          <w:rFonts w:ascii="Times New Roman" w:hAnsi="Times New Roman" w:cs="Times New Roman"/>
          <w:lang w:val="en-GB"/>
        </w:rPr>
        <w:t>.</w:t>
      </w:r>
      <w:r w:rsidR="009207E9" w:rsidRPr="007504E6">
        <w:rPr>
          <w:rFonts w:ascii="Times New Roman" w:hAnsi="Times New Roman" w:cs="Times New Roman"/>
          <w:lang w:val="en-GB"/>
        </w:rPr>
        <w:t xml:space="preserve"> </w:t>
      </w:r>
    </w:p>
    <w:p w14:paraId="351797D2" w14:textId="2A37A927" w:rsidR="002E4131" w:rsidRPr="007504E6" w:rsidRDefault="002E4131" w:rsidP="0015011E">
      <w:pPr>
        <w:spacing w:line="276" w:lineRule="auto"/>
        <w:ind w:firstLine="0"/>
        <w:rPr>
          <w:rFonts w:ascii="Times New Roman" w:hAnsi="Times New Roman" w:cs="Times New Roman"/>
          <w:lang w:val="en-GB"/>
        </w:rPr>
      </w:pPr>
    </w:p>
    <w:p w14:paraId="3460F9A3" w14:textId="77777777" w:rsidR="0015011E" w:rsidRPr="007504E6" w:rsidRDefault="0015011E" w:rsidP="0015011E">
      <w:pPr>
        <w:spacing w:line="276" w:lineRule="auto"/>
        <w:ind w:firstLine="0"/>
        <w:rPr>
          <w:rFonts w:ascii="Times New Roman" w:hAnsi="Times New Roman" w:cs="Times New Roman"/>
          <w:lang w:val="en-GB"/>
        </w:rPr>
      </w:pPr>
    </w:p>
    <w:p w14:paraId="78FE13B5" w14:textId="499359FA" w:rsidR="005C4CA0" w:rsidRPr="007504E6" w:rsidRDefault="006A6114" w:rsidP="00D64210">
      <w:pPr>
        <w:pStyle w:val="Virsraksts3"/>
        <w:numPr>
          <w:ilvl w:val="2"/>
          <w:numId w:val="5"/>
        </w:numPr>
        <w:spacing w:line="276" w:lineRule="auto"/>
        <w:rPr>
          <w:rFonts w:ascii="Times New Roman" w:hAnsi="Times New Roman" w:cs="Times New Roman"/>
          <w:b/>
          <w:bCs/>
          <w:color w:val="262626" w:themeColor="text1" w:themeTint="D9"/>
          <w:sz w:val="24"/>
          <w:szCs w:val="28"/>
          <w:lang w:val="en-GB"/>
        </w:rPr>
      </w:pPr>
      <w:r w:rsidRPr="007504E6">
        <w:rPr>
          <w:rFonts w:ascii="Times New Roman" w:hAnsi="Times New Roman" w:cs="Times New Roman"/>
          <w:b/>
          <w:bCs/>
          <w:color w:val="262626" w:themeColor="text1" w:themeTint="D9"/>
          <w:sz w:val="24"/>
          <w:szCs w:val="28"/>
          <w:lang w:val="en-GB"/>
        </w:rPr>
        <w:t>Impact of construction output on costs and industry average profit margin</w:t>
      </w:r>
    </w:p>
    <w:p w14:paraId="38FFB1AC" w14:textId="77777777" w:rsidR="00B9247E" w:rsidRPr="007504E6" w:rsidRDefault="00B9247E" w:rsidP="00B9247E">
      <w:pPr>
        <w:spacing w:line="276" w:lineRule="auto"/>
        <w:ind w:firstLine="0"/>
        <w:rPr>
          <w:rFonts w:ascii="Times New Roman" w:hAnsi="Times New Roman" w:cs="Times New Roman"/>
          <w:lang w:val="en-GB"/>
        </w:rPr>
      </w:pPr>
    </w:p>
    <w:p w14:paraId="1AB0716B" w14:textId="77777777" w:rsidR="006A6114" w:rsidRPr="007504E6" w:rsidRDefault="006A6114" w:rsidP="006A6114">
      <w:pPr>
        <w:spacing w:line="276" w:lineRule="auto"/>
        <w:ind w:firstLine="0"/>
        <w:rPr>
          <w:rFonts w:ascii="Times New Roman" w:hAnsi="Times New Roman" w:cs="Times New Roman"/>
          <w:lang w:val="en-GB"/>
        </w:rPr>
      </w:pPr>
      <w:r w:rsidRPr="007504E6">
        <w:rPr>
          <w:rFonts w:ascii="Times New Roman" w:hAnsi="Times New Roman" w:cs="Times New Roman"/>
          <w:lang w:val="en-GB"/>
        </w:rPr>
        <w:t>Experts in the framework of the study were presented with the current average relationship between the ratio of pre-tax profit of construction companies to turnover in order to assess the dependence of the profit margin on the volume of construction output.</w:t>
      </w:r>
    </w:p>
    <w:p w14:paraId="7DFBC66C" w14:textId="77777777" w:rsidR="006A6114" w:rsidRPr="007504E6" w:rsidRDefault="006A6114" w:rsidP="006A6114">
      <w:pPr>
        <w:spacing w:line="276" w:lineRule="auto"/>
        <w:ind w:firstLine="0"/>
        <w:rPr>
          <w:rFonts w:ascii="Times New Roman" w:hAnsi="Times New Roman" w:cs="Times New Roman"/>
          <w:lang w:val="en-GB"/>
        </w:rPr>
      </w:pPr>
    </w:p>
    <w:p w14:paraId="03B2EF09" w14:textId="0215316C" w:rsidR="005C4CA0" w:rsidRPr="007504E6" w:rsidRDefault="006A6114" w:rsidP="006A6114">
      <w:pPr>
        <w:spacing w:line="276" w:lineRule="auto"/>
        <w:ind w:firstLine="0"/>
        <w:rPr>
          <w:rFonts w:ascii="Times New Roman" w:hAnsi="Times New Roman" w:cs="Times New Roman"/>
          <w:lang w:val="en-GB"/>
        </w:rPr>
      </w:pPr>
      <w:r w:rsidRPr="007504E6">
        <w:rPr>
          <w:rFonts w:ascii="Times New Roman" w:hAnsi="Times New Roman" w:cs="Times New Roman"/>
          <w:lang w:val="en-GB"/>
        </w:rPr>
        <w:t xml:space="preserve">Looking at the period from 2011 to 2020, there is a moderately strong correlation between the changes in the volume of construction output and construction costs in Latvia. There is a general correlation that in years with higher construction volume growth, there is also a higher cost increase and vice versa. However, the expert forecasts obtained in 2021 show that costs will increase at the same pace as construction output, which will return to the current trend in the coming </w:t>
      </w:r>
      <w:r w:rsidR="00791BF7" w:rsidRPr="007504E6">
        <w:rPr>
          <w:rFonts w:ascii="Times New Roman" w:hAnsi="Times New Roman" w:cs="Times New Roman"/>
          <w:lang w:val="en-GB"/>
        </w:rPr>
        <w:t>years.</w:t>
      </w:r>
    </w:p>
    <w:p w14:paraId="7349115C" w14:textId="420A3CF4" w:rsidR="00966AFC" w:rsidRPr="007504E6" w:rsidRDefault="00FF7DC5" w:rsidP="00B9247E">
      <w:pPr>
        <w:spacing w:line="276" w:lineRule="auto"/>
        <w:ind w:firstLine="0"/>
        <w:rPr>
          <w:rFonts w:ascii="Times New Roman" w:hAnsi="Times New Roman" w:cs="Times New Roman"/>
          <w:lang w:val="en-GB"/>
        </w:rPr>
      </w:pPr>
      <w:r w:rsidRPr="007504E6">
        <w:rPr>
          <w:noProof/>
          <w:lang w:val="en-GB"/>
        </w:rPr>
        <w:drawing>
          <wp:inline distT="0" distB="0" distL="0" distR="0" wp14:anchorId="1DD1271F" wp14:editId="3210E303">
            <wp:extent cx="5732145" cy="3474720"/>
            <wp:effectExtent l="0" t="0" r="1905" b="11430"/>
            <wp:docPr id="222" name="Chart 222">
              <a:extLst xmlns:a="http://schemas.openxmlformats.org/drawingml/2006/main">
                <a:ext uri="{FF2B5EF4-FFF2-40B4-BE49-F238E27FC236}">
                  <a16:creationId xmlns:a16="http://schemas.microsoft.com/office/drawing/2014/main" id="{07DD9229-DC1A-4EB4-963E-335952D296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51F13CD" w14:textId="6B823AF8" w:rsidR="00621812" w:rsidRPr="007504E6" w:rsidRDefault="00621812" w:rsidP="00B9247E">
      <w:pPr>
        <w:keepNext/>
        <w:spacing w:line="276" w:lineRule="auto"/>
        <w:rPr>
          <w:rFonts w:ascii="Times New Roman" w:hAnsi="Times New Roman" w:cs="Times New Roman"/>
          <w:lang w:val="en-GB"/>
        </w:rPr>
      </w:pPr>
    </w:p>
    <w:p w14:paraId="73EA132E" w14:textId="0F80FA70" w:rsidR="00A01579" w:rsidRPr="007504E6" w:rsidRDefault="006A6114" w:rsidP="005F622A">
      <w:pPr>
        <w:pStyle w:val="Parakstszemobjekta"/>
        <w:jc w:val="center"/>
        <w:rPr>
          <w:rFonts w:ascii="Times New Roman" w:hAnsi="Times New Roman" w:cs="Times New Roman"/>
          <w:lang w:val="en-GB"/>
        </w:rPr>
      </w:pPr>
      <w:r w:rsidRPr="007504E6">
        <w:rPr>
          <w:lang w:val="en-GB"/>
        </w:rPr>
        <w:t>Fig</w:t>
      </w:r>
      <w:r w:rsidR="001B0C98" w:rsidRPr="007504E6">
        <w:rPr>
          <w:lang w:val="en-GB"/>
        </w:rPr>
        <w:t xml:space="preserve"> </w:t>
      </w:r>
      <w:r w:rsidR="00D64210" w:rsidRPr="007504E6">
        <w:rPr>
          <w:lang w:val="en-GB"/>
        </w:rPr>
        <w:fldChar w:fldCharType="begin"/>
      </w:r>
      <w:r w:rsidR="00D64210" w:rsidRPr="007504E6">
        <w:rPr>
          <w:lang w:val="en-GB"/>
        </w:rPr>
        <w:instrText xml:space="preserve"> SEQ Attēls \* ARABIC </w:instrText>
      </w:r>
      <w:r w:rsidR="00D64210" w:rsidRPr="007504E6">
        <w:rPr>
          <w:lang w:val="en-GB"/>
        </w:rPr>
        <w:fldChar w:fldCharType="separate"/>
      </w:r>
      <w:r w:rsidR="00D500F7">
        <w:rPr>
          <w:noProof/>
          <w:lang w:val="en-GB"/>
        </w:rPr>
        <w:t>7</w:t>
      </w:r>
      <w:r w:rsidR="00D64210" w:rsidRPr="007504E6">
        <w:rPr>
          <w:noProof/>
          <w:lang w:val="en-GB"/>
        </w:rPr>
        <w:fldChar w:fldCharType="end"/>
      </w:r>
      <w:r w:rsidR="001B0C98" w:rsidRPr="007504E6">
        <w:rPr>
          <w:lang w:val="en-GB"/>
        </w:rPr>
        <w:t xml:space="preserve">. </w:t>
      </w:r>
      <w:r w:rsidR="00E76CC6" w:rsidRPr="007504E6">
        <w:rPr>
          <w:rFonts w:ascii="Times New Roman" w:hAnsi="Times New Roman" w:cs="Times New Roman"/>
          <w:lang w:val="en-GB"/>
        </w:rPr>
        <w:t>Changes in construction costs due to changes in the volume of construction output and the combined forecast</w:t>
      </w:r>
      <w:r w:rsidR="0026613E" w:rsidRPr="007504E6">
        <w:rPr>
          <w:rFonts w:ascii="Times New Roman" w:hAnsi="Times New Roman" w:cs="Times New Roman"/>
          <w:lang w:val="en-GB"/>
        </w:rPr>
        <w:t>.</w:t>
      </w:r>
    </w:p>
    <w:p w14:paraId="65887B0C" w14:textId="4780F645" w:rsidR="00460A5E" w:rsidRPr="007504E6" w:rsidRDefault="00E76CC6" w:rsidP="00966AFC">
      <w:pPr>
        <w:spacing w:line="276" w:lineRule="auto"/>
        <w:ind w:firstLine="0"/>
        <w:rPr>
          <w:rFonts w:ascii="Times New Roman" w:hAnsi="Times New Roman" w:cs="Times New Roman"/>
          <w:lang w:val="en-GB"/>
        </w:rPr>
      </w:pPr>
      <w:r w:rsidRPr="007504E6">
        <w:rPr>
          <w:rFonts w:ascii="Times New Roman" w:hAnsi="Times New Roman" w:cs="Times New Roman"/>
          <w:lang w:val="en-GB"/>
        </w:rPr>
        <w:t>Looking at the actual development of the situation over a longer period from 2006 to 2020, it can be observed that the general trend remains that in years with increasing construction output there is also an increase in construction costs. In this broad dynamic, the actual level of cost increases in 2020 is in line with normal trends and there are no abnormal developments in the sector. However, projections for 2021 point to a temporary departure from this normal trend and cost increases as large as output growth. In the period after the 2021 forecast, the situation indicates a return to a more normal proportion</w:t>
      </w:r>
      <w:r w:rsidR="00690614" w:rsidRPr="007504E6">
        <w:rPr>
          <w:rFonts w:ascii="Times New Roman" w:hAnsi="Times New Roman" w:cs="Times New Roman"/>
          <w:lang w:val="en-GB"/>
        </w:rPr>
        <w:t xml:space="preserve">. </w:t>
      </w:r>
    </w:p>
    <w:p w14:paraId="057BF0ED" w14:textId="2EA01743" w:rsidR="004825D9" w:rsidRPr="007504E6" w:rsidRDefault="004825D9" w:rsidP="00966AFC">
      <w:pPr>
        <w:spacing w:line="276" w:lineRule="auto"/>
        <w:ind w:firstLine="0"/>
        <w:rPr>
          <w:rFonts w:ascii="Times New Roman" w:hAnsi="Times New Roman" w:cs="Times New Roman"/>
          <w:lang w:val="en-GB"/>
        </w:rPr>
      </w:pPr>
    </w:p>
    <w:p w14:paraId="5F8FB64E" w14:textId="77777777" w:rsidR="00460A5E" w:rsidRPr="007504E6" w:rsidRDefault="00460A5E" w:rsidP="00460A5E">
      <w:pPr>
        <w:keepNext/>
        <w:spacing w:line="276" w:lineRule="auto"/>
        <w:ind w:firstLine="0"/>
        <w:rPr>
          <w:rFonts w:ascii="Times New Roman" w:hAnsi="Times New Roman" w:cs="Times New Roman"/>
          <w:lang w:val="en-GB"/>
        </w:rPr>
      </w:pPr>
      <w:r w:rsidRPr="007504E6">
        <w:rPr>
          <w:rFonts w:ascii="Times New Roman" w:hAnsi="Times New Roman" w:cs="Times New Roman"/>
          <w:noProof/>
          <w:lang w:val="en-GB"/>
        </w:rPr>
        <w:drawing>
          <wp:anchor distT="0" distB="0" distL="114300" distR="114300" simplePos="0" relativeHeight="251784192" behindDoc="0" locked="0" layoutInCell="1" allowOverlap="1" wp14:anchorId="47E93696" wp14:editId="7E3C7258">
            <wp:simplePos x="0" y="0"/>
            <wp:positionH relativeFrom="column">
              <wp:posOffset>-68238</wp:posOffset>
            </wp:positionH>
            <wp:positionV relativeFrom="paragraph">
              <wp:posOffset>54591</wp:posOffset>
            </wp:positionV>
            <wp:extent cx="5732145" cy="3308350"/>
            <wp:effectExtent l="0" t="0" r="1905" b="6350"/>
            <wp:wrapTopAndBottom/>
            <wp:docPr id="21" name="Chart 2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04B1A8A9" w14:textId="767BFA16" w:rsidR="004825D9" w:rsidRPr="007504E6" w:rsidRDefault="00E76CC6" w:rsidP="00351FC5">
      <w:pPr>
        <w:pStyle w:val="Parakstszemobjekta"/>
        <w:jc w:val="center"/>
        <w:rPr>
          <w:rFonts w:ascii="Times New Roman" w:hAnsi="Times New Roman" w:cs="Times New Roman"/>
          <w:lang w:val="en-GB"/>
        </w:rPr>
      </w:pPr>
      <w:r w:rsidRPr="007504E6">
        <w:rPr>
          <w:lang w:val="en-GB"/>
        </w:rPr>
        <w:t>Fig</w:t>
      </w:r>
      <w:r w:rsidR="001B0C98" w:rsidRPr="007504E6">
        <w:rPr>
          <w:lang w:val="en-GB"/>
        </w:rPr>
        <w:t xml:space="preserve"> </w:t>
      </w:r>
      <w:r w:rsidR="00D64210" w:rsidRPr="007504E6">
        <w:rPr>
          <w:lang w:val="en-GB"/>
        </w:rPr>
        <w:fldChar w:fldCharType="begin"/>
      </w:r>
      <w:r w:rsidR="00D64210" w:rsidRPr="007504E6">
        <w:rPr>
          <w:lang w:val="en-GB"/>
        </w:rPr>
        <w:instrText xml:space="preserve"> SEQ Attēls \* ARABIC </w:instrText>
      </w:r>
      <w:r w:rsidR="00D64210" w:rsidRPr="007504E6">
        <w:rPr>
          <w:lang w:val="en-GB"/>
        </w:rPr>
        <w:fldChar w:fldCharType="separate"/>
      </w:r>
      <w:r w:rsidR="00D500F7">
        <w:rPr>
          <w:noProof/>
          <w:lang w:val="en-GB"/>
        </w:rPr>
        <w:t>8</w:t>
      </w:r>
      <w:r w:rsidR="00D64210" w:rsidRPr="007504E6">
        <w:rPr>
          <w:noProof/>
          <w:lang w:val="en-GB"/>
        </w:rPr>
        <w:fldChar w:fldCharType="end"/>
      </w:r>
      <w:r w:rsidR="001B0C98" w:rsidRPr="007504E6">
        <w:rPr>
          <w:lang w:val="en-GB"/>
        </w:rPr>
        <w:t xml:space="preserve">. </w:t>
      </w:r>
      <w:r w:rsidRPr="007504E6">
        <w:rPr>
          <w:rFonts w:ascii="Times New Roman" w:hAnsi="Times New Roman" w:cs="Times New Roman"/>
          <w:lang w:val="en-GB"/>
        </w:rPr>
        <w:t>Changes in construction costs due to changes in the volume of construction output</w:t>
      </w:r>
      <w:r w:rsidR="001B0C98" w:rsidRPr="007504E6">
        <w:rPr>
          <w:rFonts w:ascii="Times New Roman" w:hAnsi="Times New Roman" w:cs="Times New Roman"/>
          <w:lang w:val="en-GB"/>
        </w:rPr>
        <w:t>.</w:t>
      </w:r>
    </w:p>
    <w:p w14:paraId="723388ED" w14:textId="219DFEDA" w:rsidR="00966AFC" w:rsidRPr="007504E6" w:rsidRDefault="00E76CC6" w:rsidP="009B0084">
      <w:pPr>
        <w:spacing w:line="276" w:lineRule="auto"/>
        <w:ind w:firstLine="0"/>
        <w:rPr>
          <w:rFonts w:ascii="Times New Roman" w:hAnsi="Times New Roman" w:cs="Times New Roman"/>
          <w:lang w:val="en-GB"/>
        </w:rPr>
      </w:pPr>
      <w:r w:rsidRPr="007504E6">
        <w:rPr>
          <w:rFonts w:ascii="Times New Roman" w:hAnsi="Times New Roman" w:cs="Times New Roman"/>
          <w:lang w:val="en-GB"/>
        </w:rPr>
        <w:t>The experts also performed a conditional simulation of possible costs depending on the volume of construction output, which was used as a basis for the overheating simulation.</w:t>
      </w:r>
    </w:p>
    <w:p w14:paraId="517BA66B" w14:textId="37A6E81F" w:rsidR="005F622A" w:rsidRPr="007504E6" w:rsidRDefault="00E76CC6" w:rsidP="005F622A">
      <w:pPr>
        <w:pStyle w:val="Parakstszemobjekta"/>
        <w:spacing w:after="0"/>
        <w:jc w:val="right"/>
        <w:rPr>
          <w:rFonts w:ascii="Times New Roman" w:hAnsi="Times New Roman" w:cs="Times New Roman"/>
          <w:lang w:val="en-GB"/>
        </w:rPr>
      </w:pPr>
      <w:r w:rsidRPr="007504E6">
        <w:rPr>
          <w:lang w:val="en-GB"/>
        </w:rPr>
        <w:t>Table</w:t>
      </w:r>
      <w:r w:rsidR="001B0C98" w:rsidRPr="007504E6">
        <w:rPr>
          <w:lang w:val="en-GB"/>
        </w:rPr>
        <w:t xml:space="preserve">  </w:t>
      </w:r>
      <w:r w:rsidR="00D64210" w:rsidRPr="007504E6">
        <w:rPr>
          <w:lang w:val="en-GB"/>
        </w:rPr>
        <w:fldChar w:fldCharType="begin"/>
      </w:r>
      <w:r w:rsidR="00D64210" w:rsidRPr="007504E6">
        <w:rPr>
          <w:lang w:val="en-GB"/>
        </w:rPr>
        <w:instrText xml:space="preserve"> SEQ Tab._ \* ARABIC </w:instrText>
      </w:r>
      <w:r w:rsidR="00D64210" w:rsidRPr="007504E6">
        <w:rPr>
          <w:lang w:val="en-GB"/>
        </w:rPr>
        <w:fldChar w:fldCharType="separate"/>
      </w:r>
      <w:r w:rsidR="00D500F7">
        <w:rPr>
          <w:noProof/>
          <w:lang w:val="en-GB"/>
        </w:rPr>
        <w:t>8</w:t>
      </w:r>
      <w:r w:rsidR="00D64210" w:rsidRPr="007504E6">
        <w:rPr>
          <w:noProof/>
          <w:lang w:val="en-GB"/>
        </w:rPr>
        <w:fldChar w:fldCharType="end"/>
      </w:r>
      <w:r w:rsidR="001B0C98" w:rsidRPr="007504E6">
        <w:rPr>
          <w:lang w:val="en-GB"/>
        </w:rPr>
        <w:t>.</w:t>
      </w:r>
      <w:r w:rsidR="006E67D4" w:rsidRPr="007504E6">
        <w:rPr>
          <w:rFonts w:ascii="Times New Roman" w:hAnsi="Times New Roman" w:cs="Times New Roman"/>
          <w:lang w:val="en-GB"/>
        </w:rPr>
        <w:t xml:space="preserve"> </w:t>
      </w:r>
    </w:p>
    <w:p w14:paraId="482CA30B" w14:textId="3002727C" w:rsidR="006E67D4" w:rsidRPr="007504E6" w:rsidRDefault="00E76CC6" w:rsidP="005F622A">
      <w:pPr>
        <w:pStyle w:val="Parakstszemobjekta"/>
        <w:spacing w:after="0"/>
        <w:jc w:val="right"/>
        <w:rPr>
          <w:rFonts w:ascii="Times New Roman" w:hAnsi="Times New Roman" w:cs="Times New Roman"/>
          <w:lang w:val="en-GB"/>
        </w:rPr>
      </w:pPr>
      <w:r w:rsidRPr="007504E6">
        <w:rPr>
          <w:rFonts w:ascii="Times New Roman" w:hAnsi="Times New Roman" w:cs="Times New Roman"/>
          <w:lang w:val="en-GB"/>
        </w:rPr>
        <w:t>Construction cost changes and profit margins expert estimates for various construction industry growth scenarios</w:t>
      </w:r>
      <w:r w:rsidR="006E67D4" w:rsidRPr="007504E6">
        <w:rPr>
          <w:rFonts w:ascii="Times New Roman" w:hAnsi="Times New Roman" w:cs="Times New Roman"/>
          <w:lang w:val="en-GB"/>
        </w:rPr>
        <w:t>.</w:t>
      </w:r>
    </w:p>
    <w:tbl>
      <w:tblPr>
        <w:tblW w:w="9063" w:type="dxa"/>
        <w:tblCellMar>
          <w:left w:w="0" w:type="dxa"/>
          <w:right w:w="0" w:type="dxa"/>
        </w:tblCellMar>
        <w:tblLook w:val="0600" w:firstRow="0" w:lastRow="0" w:firstColumn="0" w:lastColumn="0" w:noHBand="1" w:noVBand="1"/>
      </w:tblPr>
      <w:tblGrid>
        <w:gridCol w:w="2967"/>
        <w:gridCol w:w="3119"/>
        <w:gridCol w:w="2977"/>
      </w:tblGrid>
      <w:tr w:rsidR="00DC74F2" w:rsidRPr="007504E6" w14:paraId="61BC7A37" w14:textId="77777777" w:rsidTr="00D2159E">
        <w:trPr>
          <w:trHeight w:val="340"/>
        </w:trPr>
        <w:tc>
          <w:tcPr>
            <w:tcW w:w="29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2" w:type="dxa"/>
              <w:left w:w="12" w:type="dxa"/>
              <w:bottom w:w="0" w:type="dxa"/>
              <w:right w:w="12" w:type="dxa"/>
            </w:tcMar>
            <w:vAlign w:val="center"/>
            <w:hideMark/>
          </w:tcPr>
          <w:p w14:paraId="6D7F1591" w14:textId="361FB863" w:rsidR="00DC74F2" w:rsidRPr="007504E6" w:rsidRDefault="00DC74F2" w:rsidP="00DC74F2">
            <w:pPr>
              <w:spacing w:line="276" w:lineRule="auto"/>
              <w:ind w:firstLine="0"/>
              <w:jc w:val="center"/>
              <w:rPr>
                <w:rFonts w:ascii="Times New Roman" w:hAnsi="Times New Roman" w:cs="Times New Roman"/>
                <w:sz w:val="18"/>
                <w:szCs w:val="18"/>
                <w:lang w:val="en-GB"/>
              </w:rPr>
            </w:pPr>
            <w:r w:rsidRPr="007504E6">
              <w:rPr>
                <w:sz w:val="18"/>
                <w:szCs w:val="18"/>
                <w:lang w:val="en-GB"/>
              </w:rPr>
              <w:t>Construction volume change s price lists</w:t>
            </w:r>
          </w:p>
        </w:tc>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hideMark/>
          </w:tcPr>
          <w:p w14:paraId="3F6B5895" w14:textId="4058AE00" w:rsidR="00DC74F2" w:rsidRPr="007504E6" w:rsidRDefault="00DC74F2" w:rsidP="00DC74F2">
            <w:pPr>
              <w:spacing w:line="276" w:lineRule="auto"/>
              <w:ind w:firstLine="0"/>
              <w:jc w:val="center"/>
              <w:rPr>
                <w:rFonts w:ascii="Times New Roman" w:hAnsi="Times New Roman" w:cs="Times New Roman"/>
                <w:sz w:val="18"/>
                <w:szCs w:val="18"/>
                <w:lang w:val="en-GB"/>
              </w:rPr>
            </w:pPr>
            <w:r w:rsidRPr="007504E6">
              <w:rPr>
                <w:sz w:val="18"/>
                <w:szCs w:val="18"/>
                <w:lang w:val="en-GB"/>
              </w:rPr>
              <w:t>Changes in construction costs</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hideMark/>
          </w:tcPr>
          <w:p w14:paraId="14321E2E" w14:textId="3805731E" w:rsidR="00DC74F2" w:rsidRPr="007504E6" w:rsidRDefault="00DC74F2" w:rsidP="00DC74F2">
            <w:pPr>
              <w:spacing w:line="276" w:lineRule="auto"/>
              <w:ind w:firstLine="0"/>
              <w:jc w:val="center"/>
              <w:rPr>
                <w:rFonts w:ascii="Times New Roman" w:hAnsi="Times New Roman" w:cs="Times New Roman"/>
                <w:sz w:val="18"/>
                <w:szCs w:val="18"/>
                <w:lang w:val="en-GB"/>
              </w:rPr>
            </w:pPr>
            <w:r w:rsidRPr="007504E6">
              <w:rPr>
                <w:sz w:val="18"/>
                <w:szCs w:val="18"/>
                <w:lang w:val="en-GB"/>
              </w:rPr>
              <w:t>Profit rate *%, which would be acceptable</w:t>
            </w:r>
            <w:r w:rsidR="00791BF7" w:rsidRPr="007504E6">
              <w:rPr>
                <w:sz w:val="18"/>
                <w:szCs w:val="18"/>
                <w:lang w:val="en-GB"/>
              </w:rPr>
              <w:t xml:space="preserve"> to</w:t>
            </w:r>
            <w:r w:rsidRPr="007504E6">
              <w:rPr>
                <w:sz w:val="18"/>
                <w:szCs w:val="18"/>
                <w:lang w:val="en-GB"/>
              </w:rPr>
              <w:t xml:space="preserve"> </w:t>
            </w:r>
            <w:proofErr w:type="spellStart"/>
            <w:r w:rsidRPr="007504E6">
              <w:rPr>
                <w:sz w:val="18"/>
                <w:szCs w:val="18"/>
                <w:lang w:val="en-GB"/>
              </w:rPr>
              <w:t>Latv</w:t>
            </w:r>
            <w:proofErr w:type="spellEnd"/>
            <w:r w:rsidRPr="007504E6">
              <w:rPr>
                <w:sz w:val="18"/>
                <w:szCs w:val="18"/>
                <w:lang w:val="en-GB"/>
              </w:rPr>
              <w:t>. construction company</w:t>
            </w:r>
          </w:p>
        </w:tc>
      </w:tr>
      <w:tr w:rsidR="00DC74F2" w:rsidRPr="007504E6" w14:paraId="1A23E4B3" w14:textId="77777777" w:rsidTr="006E67D4">
        <w:trPr>
          <w:trHeight w:val="340"/>
        </w:trPr>
        <w:tc>
          <w:tcPr>
            <w:tcW w:w="2967" w:type="dxa"/>
            <w:tcBorders>
              <w:top w:val="single" w:sz="4" w:space="0" w:color="auto"/>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CFF0D46" w14:textId="4FE2E74C" w:rsidR="00DC74F2" w:rsidRPr="007504E6" w:rsidRDefault="00DC74F2" w:rsidP="00DC74F2">
            <w:pPr>
              <w:spacing w:line="276" w:lineRule="auto"/>
              <w:ind w:firstLine="0"/>
              <w:jc w:val="center"/>
              <w:rPr>
                <w:rFonts w:ascii="Times New Roman" w:hAnsi="Times New Roman" w:cs="Times New Roman"/>
                <w:sz w:val="18"/>
                <w:szCs w:val="18"/>
                <w:lang w:val="en-GB"/>
              </w:rPr>
            </w:pPr>
            <w:r w:rsidRPr="007504E6">
              <w:rPr>
                <w:sz w:val="18"/>
                <w:szCs w:val="18"/>
                <w:lang w:val="en-GB"/>
              </w:rPr>
              <w:t>-20% to -10%</w:t>
            </w:r>
          </w:p>
        </w:tc>
        <w:tc>
          <w:tcPr>
            <w:tcW w:w="3119" w:type="dxa"/>
            <w:tcBorders>
              <w:top w:val="single" w:sz="4" w:space="0" w:color="auto"/>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FACFCA4" w14:textId="234D8E36" w:rsidR="00DC74F2" w:rsidRPr="007504E6" w:rsidRDefault="00DC74F2" w:rsidP="00DC74F2">
            <w:pPr>
              <w:spacing w:line="276" w:lineRule="auto"/>
              <w:ind w:firstLine="0"/>
              <w:jc w:val="center"/>
              <w:rPr>
                <w:rFonts w:ascii="Times New Roman" w:hAnsi="Times New Roman" w:cs="Times New Roman"/>
                <w:sz w:val="18"/>
                <w:szCs w:val="18"/>
                <w:lang w:val="en-GB"/>
              </w:rPr>
            </w:pPr>
            <w:r w:rsidRPr="007504E6">
              <w:rPr>
                <w:sz w:val="18"/>
                <w:szCs w:val="18"/>
                <w:lang w:val="en-GB"/>
              </w:rPr>
              <w:t>3.21</w:t>
            </w:r>
          </w:p>
        </w:tc>
        <w:tc>
          <w:tcPr>
            <w:tcW w:w="2977" w:type="dxa"/>
            <w:tcBorders>
              <w:top w:val="single" w:sz="4" w:space="0" w:color="auto"/>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A64DA9F" w14:textId="73526933" w:rsidR="00DC74F2" w:rsidRPr="007504E6" w:rsidRDefault="00DC74F2" w:rsidP="00DC74F2">
            <w:pPr>
              <w:spacing w:line="276" w:lineRule="auto"/>
              <w:ind w:firstLine="0"/>
              <w:jc w:val="center"/>
              <w:rPr>
                <w:rFonts w:ascii="Times New Roman" w:hAnsi="Times New Roman" w:cs="Times New Roman"/>
                <w:sz w:val="18"/>
                <w:szCs w:val="18"/>
                <w:lang w:val="en-GB"/>
              </w:rPr>
            </w:pPr>
            <w:r w:rsidRPr="007504E6">
              <w:rPr>
                <w:sz w:val="18"/>
                <w:szCs w:val="18"/>
                <w:lang w:val="en-GB"/>
              </w:rPr>
              <w:t>5.81</w:t>
            </w:r>
          </w:p>
        </w:tc>
      </w:tr>
      <w:tr w:rsidR="00DC74F2" w:rsidRPr="007504E6" w14:paraId="5990E676" w14:textId="77777777" w:rsidTr="006E67D4">
        <w:trPr>
          <w:trHeight w:val="340"/>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E095FD2" w14:textId="394E7E4E" w:rsidR="00DC74F2" w:rsidRPr="007504E6" w:rsidRDefault="00DC74F2" w:rsidP="00DC74F2">
            <w:pPr>
              <w:spacing w:line="276" w:lineRule="auto"/>
              <w:ind w:firstLine="0"/>
              <w:jc w:val="center"/>
              <w:rPr>
                <w:rFonts w:ascii="Times New Roman" w:hAnsi="Times New Roman" w:cs="Times New Roman"/>
                <w:sz w:val="18"/>
                <w:szCs w:val="18"/>
                <w:lang w:val="en-GB"/>
              </w:rPr>
            </w:pPr>
            <w:r w:rsidRPr="007504E6">
              <w:rPr>
                <w:sz w:val="18"/>
                <w:szCs w:val="18"/>
                <w:lang w:val="en-GB"/>
              </w:rPr>
              <w:t>-10% to -0%</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8ADEF5A" w14:textId="0BB3396D" w:rsidR="00DC74F2" w:rsidRPr="007504E6" w:rsidRDefault="00DC74F2" w:rsidP="00DC74F2">
            <w:pPr>
              <w:spacing w:line="276" w:lineRule="auto"/>
              <w:ind w:firstLine="0"/>
              <w:jc w:val="center"/>
              <w:rPr>
                <w:rFonts w:ascii="Times New Roman" w:hAnsi="Times New Roman" w:cs="Times New Roman"/>
                <w:sz w:val="18"/>
                <w:szCs w:val="18"/>
                <w:lang w:val="en-GB"/>
              </w:rPr>
            </w:pPr>
            <w:r w:rsidRPr="007504E6">
              <w:rPr>
                <w:sz w:val="18"/>
                <w:szCs w:val="18"/>
                <w:lang w:val="en-GB"/>
              </w:rPr>
              <w:t>4.30</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3C43779" w14:textId="4EACEED2" w:rsidR="00DC74F2" w:rsidRPr="007504E6" w:rsidRDefault="00DC74F2" w:rsidP="00DC74F2">
            <w:pPr>
              <w:spacing w:line="276" w:lineRule="auto"/>
              <w:ind w:firstLine="0"/>
              <w:jc w:val="center"/>
              <w:rPr>
                <w:rFonts w:ascii="Times New Roman" w:hAnsi="Times New Roman" w:cs="Times New Roman"/>
                <w:sz w:val="18"/>
                <w:szCs w:val="18"/>
                <w:lang w:val="en-GB"/>
              </w:rPr>
            </w:pPr>
            <w:r w:rsidRPr="007504E6">
              <w:rPr>
                <w:sz w:val="18"/>
                <w:szCs w:val="18"/>
                <w:lang w:val="en-GB"/>
              </w:rPr>
              <w:t>6.19</w:t>
            </w:r>
          </w:p>
        </w:tc>
      </w:tr>
      <w:tr w:rsidR="00DC74F2" w:rsidRPr="007504E6" w14:paraId="4D8278CE" w14:textId="77777777" w:rsidTr="006E67D4">
        <w:trPr>
          <w:trHeight w:val="340"/>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6E61DFA" w14:textId="118F6EC4" w:rsidR="00DC74F2" w:rsidRPr="007504E6" w:rsidRDefault="00DC74F2" w:rsidP="00DC74F2">
            <w:pPr>
              <w:spacing w:line="276" w:lineRule="auto"/>
              <w:ind w:firstLine="0"/>
              <w:jc w:val="center"/>
              <w:rPr>
                <w:rFonts w:ascii="Times New Roman" w:hAnsi="Times New Roman" w:cs="Times New Roman"/>
                <w:sz w:val="18"/>
                <w:szCs w:val="18"/>
                <w:lang w:val="en-GB"/>
              </w:rPr>
            </w:pPr>
            <w:r w:rsidRPr="007504E6">
              <w:rPr>
                <w:sz w:val="18"/>
                <w:szCs w:val="18"/>
                <w:lang w:val="en-GB"/>
              </w:rPr>
              <w:t>0% to + 10%</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518C2E1" w14:textId="7B306760" w:rsidR="00DC74F2" w:rsidRPr="007504E6" w:rsidRDefault="00DC74F2" w:rsidP="00DC74F2">
            <w:pPr>
              <w:spacing w:line="276" w:lineRule="auto"/>
              <w:ind w:firstLine="0"/>
              <w:jc w:val="center"/>
              <w:rPr>
                <w:rFonts w:ascii="Times New Roman" w:hAnsi="Times New Roman" w:cs="Times New Roman"/>
                <w:sz w:val="18"/>
                <w:szCs w:val="18"/>
                <w:lang w:val="en-GB"/>
              </w:rPr>
            </w:pPr>
            <w:r w:rsidRPr="007504E6">
              <w:rPr>
                <w:sz w:val="18"/>
                <w:szCs w:val="18"/>
                <w:lang w:val="en-GB"/>
              </w:rPr>
              <w:t>6.05</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1F92163" w14:textId="51CF31E0" w:rsidR="00DC74F2" w:rsidRPr="007504E6" w:rsidRDefault="00DC74F2" w:rsidP="00DC74F2">
            <w:pPr>
              <w:spacing w:line="276" w:lineRule="auto"/>
              <w:ind w:firstLine="0"/>
              <w:jc w:val="center"/>
              <w:rPr>
                <w:rFonts w:ascii="Times New Roman" w:hAnsi="Times New Roman" w:cs="Times New Roman"/>
                <w:sz w:val="18"/>
                <w:szCs w:val="18"/>
                <w:lang w:val="en-GB"/>
              </w:rPr>
            </w:pPr>
            <w:r w:rsidRPr="007504E6">
              <w:rPr>
                <w:sz w:val="18"/>
                <w:szCs w:val="18"/>
                <w:lang w:val="en-GB"/>
              </w:rPr>
              <w:t>8.53</w:t>
            </w:r>
          </w:p>
        </w:tc>
      </w:tr>
      <w:tr w:rsidR="00DC74F2" w:rsidRPr="007504E6" w14:paraId="12B3673B" w14:textId="77777777" w:rsidTr="006E67D4">
        <w:trPr>
          <w:trHeight w:val="340"/>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1614644" w14:textId="21CAFADA" w:rsidR="00DC74F2" w:rsidRPr="007504E6" w:rsidRDefault="00DC74F2" w:rsidP="00DC74F2">
            <w:pPr>
              <w:spacing w:line="276" w:lineRule="auto"/>
              <w:ind w:firstLine="0"/>
              <w:jc w:val="center"/>
              <w:rPr>
                <w:rFonts w:ascii="Times New Roman" w:hAnsi="Times New Roman" w:cs="Times New Roman"/>
                <w:sz w:val="18"/>
                <w:szCs w:val="18"/>
                <w:lang w:val="en-GB"/>
              </w:rPr>
            </w:pPr>
            <w:r w:rsidRPr="007504E6">
              <w:rPr>
                <w:sz w:val="18"/>
                <w:szCs w:val="18"/>
                <w:lang w:val="en-GB"/>
              </w:rPr>
              <w:t>+ 10% to + 20%</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BD15780" w14:textId="218E50C0" w:rsidR="00DC74F2" w:rsidRPr="007504E6" w:rsidRDefault="00DC74F2" w:rsidP="00DC74F2">
            <w:pPr>
              <w:spacing w:line="276" w:lineRule="auto"/>
              <w:ind w:firstLine="0"/>
              <w:jc w:val="center"/>
              <w:rPr>
                <w:rFonts w:ascii="Times New Roman" w:hAnsi="Times New Roman" w:cs="Times New Roman"/>
                <w:sz w:val="18"/>
                <w:szCs w:val="18"/>
                <w:lang w:val="en-GB"/>
              </w:rPr>
            </w:pPr>
            <w:r w:rsidRPr="007504E6">
              <w:rPr>
                <w:sz w:val="18"/>
                <w:szCs w:val="18"/>
                <w:lang w:val="en-GB"/>
              </w:rPr>
              <w:t>10.06</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9169734" w14:textId="3E0B5AAA" w:rsidR="00DC74F2" w:rsidRPr="007504E6" w:rsidRDefault="00DC74F2" w:rsidP="00DC74F2">
            <w:pPr>
              <w:spacing w:line="276" w:lineRule="auto"/>
              <w:ind w:firstLine="0"/>
              <w:jc w:val="center"/>
              <w:rPr>
                <w:rFonts w:ascii="Times New Roman" w:hAnsi="Times New Roman" w:cs="Times New Roman"/>
                <w:sz w:val="18"/>
                <w:szCs w:val="18"/>
                <w:lang w:val="en-GB"/>
              </w:rPr>
            </w:pPr>
            <w:r w:rsidRPr="007504E6">
              <w:rPr>
                <w:sz w:val="18"/>
                <w:szCs w:val="18"/>
                <w:lang w:val="en-GB"/>
              </w:rPr>
              <w:t>10.46</w:t>
            </w:r>
          </w:p>
        </w:tc>
      </w:tr>
      <w:tr w:rsidR="00DC74F2" w:rsidRPr="007504E6" w14:paraId="02B0B9B5" w14:textId="77777777" w:rsidTr="006E67D4">
        <w:trPr>
          <w:trHeight w:val="340"/>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78C04E6" w14:textId="657B9EBD" w:rsidR="00DC74F2" w:rsidRPr="007504E6" w:rsidRDefault="00DC74F2" w:rsidP="00DC74F2">
            <w:pPr>
              <w:spacing w:line="276" w:lineRule="auto"/>
              <w:ind w:firstLine="0"/>
              <w:jc w:val="center"/>
              <w:rPr>
                <w:rFonts w:ascii="Times New Roman" w:hAnsi="Times New Roman" w:cs="Times New Roman"/>
                <w:sz w:val="18"/>
                <w:szCs w:val="18"/>
                <w:lang w:val="en-GB"/>
              </w:rPr>
            </w:pPr>
            <w:r w:rsidRPr="007504E6">
              <w:rPr>
                <w:sz w:val="18"/>
                <w:szCs w:val="18"/>
                <w:lang w:val="en-GB"/>
              </w:rPr>
              <w:t>+ 20% to + 30%</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1A4A374" w14:textId="696EC8E0" w:rsidR="00DC74F2" w:rsidRPr="007504E6" w:rsidRDefault="00DC74F2" w:rsidP="00DC74F2">
            <w:pPr>
              <w:spacing w:line="276" w:lineRule="auto"/>
              <w:ind w:firstLine="0"/>
              <w:jc w:val="center"/>
              <w:rPr>
                <w:rFonts w:ascii="Times New Roman" w:hAnsi="Times New Roman" w:cs="Times New Roman"/>
                <w:sz w:val="18"/>
                <w:szCs w:val="18"/>
                <w:lang w:val="en-GB"/>
              </w:rPr>
            </w:pPr>
            <w:r w:rsidRPr="007504E6">
              <w:rPr>
                <w:sz w:val="18"/>
                <w:szCs w:val="18"/>
                <w:lang w:val="en-GB"/>
              </w:rPr>
              <w:t>14.90</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41F5FF3" w14:textId="2DB83A21" w:rsidR="00DC74F2" w:rsidRPr="007504E6" w:rsidRDefault="00DC74F2" w:rsidP="00DC74F2">
            <w:pPr>
              <w:spacing w:line="276" w:lineRule="auto"/>
              <w:ind w:firstLine="0"/>
              <w:jc w:val="center"/>
              <w:rPr>
                <w:rFonts w:ascii="Times New Roman" w:hAnsi="Times New Roman" w:cs="Times New Roman"/>
                <w:sz w:val="18"/>
                <w:szCs w:val="18"/>
                <w:lang w:val="en-GB"/>
              </w:rPr>
            </w:pPr>
            <w:r w:rsidRPr="007504E6">
              <w:rPr>
                <w:sz w:val="18"/>
                <w:szCs w:val="18"/>
                <w:lang w:val="en-GB"/>
              </w:rPr>
              <w:t>12.40</w:t>
            </w:r>
          </w:p>
        </w:tc>
      </w:tr>
    </w:tbl>
    <w:p w14:paraId="0BE02F04" w14:textId="77777777" w:rsidR="00966AFC" w:rsidRPr="007504E6" w:rsidRDefault="00966AFC" w:rsidP="00966AFC">
      <w:pPr>
        <w:spacing w:line="276" w:lineRule="auto"/>
        <w:ind w:firstLine="0"/>
        <w:rPr>
          <w:rFonts w:ascii="Times New Roman" w:hAnsi="Times New Roman" w:cs="Times New Roman"/>
          <w:lang w:val="en-GB"/>
        </w:rPr>
      </w:pPr>
    </w:p>
    <w:p w14:paraId="0EF570A4" w14:textId="77777777" w:rsidR="00BF5923" w:rsidRPr="007504E6" w:rsidRDefault="00BF5923" w:rsidP="00BF5923">
      <w:pPr>
        <w:spacing w:line="276" w:lineRule="auto"/>
        <w:ind w:firstLine="0"/>
        <w:rPr>
          <w:rFonts w:ascii="Times New Roman" w:hAnsi="Times New Roman" w:cs="Times New Roman"/>
          <w:lang w:val="en-GB"/>
        </w:rPr>
      </w:pPr>
      <w:r w:rsidRPr="007504E6">
        <w:rPr>
          <w:rFonts w:ascii="Times New Roman" w:hAnsi="Times New Roman" w:cs="Times New Roman"/>
          <w:lang w:val="en-GB"/>
        </w:rPr>
        <w:t>In the 2021 study, experts see changes in construction costs in a positive way under any market growth scenario. One of the explanations is that this is related to the significant dependence of construction costs on international trade trends, and not on Latvian domestic market trends. Consequently, even in the scenario, if a decrease in the volume of construction output were expected in Latvia, according to experts, costs would continue to increase anyway.</w:t>
      </w:r>
    </w:p>
    <w:p w14:paraId="78EF0FDA" w14:textId="77777777" w:rsidR="00BF5923" w:rsidRPr="007504E6" w:rsidRDefault="00BF5923" w:rsidP="00BF5923">
      <w:pPr>
        <w:spacing w:line="276" w:lineRule="auto"/>
        <w:ind w:firstLine="0"/>
        <w:rPr>
          <w:rFonts w:ascii="Times New Roman" w:hAnsi="Times New Roman" w:cs="Times New Roman"/>
          <w:lang w:val="en-GB"/>
        </w:rPr>
      </w:pPr>
    </w:p>
    <w:p w14:paraId="62B6AEAE" w14:textId="6456C6C0" w:rsidR="009B0084" w:rsidRPr="007504E6" w:rsidRDefault="00BF5923" w:rsidP="00BF5923">
      <w:pPr>
        <w:spacing w:line="276" w:lineRule="auto"/>
        <w:ind w:firstLine="0"/>
        <w:rPr>
          <w:rFonts w:ascii="Times New Roman" w:hAnsi="Times New Roman" w:cs="Times New Roman"/>
          <w:lang w:val="en-GB"/>
        </w:rPr>
      </w:pPr>
      <w:r w:rsidRPr="007504E6">
        <w:rPr>
          <w:rFonts w:ascii="Times New Roman" w:hAnsi="Times New Roman" w:cs="Times New Roman"/>
          <w:lang w:val="en-GB"/>
        </w:rPr>
        <w:t>The situation is slightly different when looking at the construction sub-sectors, as the experts representing them have different views on the profit margin of their sub-sector</w:t>
      </w:r>
      <w:r w:rsidR="00BC460D" w:rsidRPr="007504E6">
        <w:rPr>
          <w:rFonts w:ascii="Times New Roman" w:hAnsi="Times New Roman" w:cs="Times New Roman"/>
          <w:lang w:val="en-GB"/>
        </w:rPr>
        <w:t xml:space="preserve">. </w:t>
      </w:r>
    </w:p>
    <w:p w14:paraId="4D86A050" w14:textId="40C0ECF0" w:rsidR="00351FC5" w:rsidRPr="007504E6" w:rsidRDefault="00351FC5" w:rsidP="00D2159E">
      <w:pPr>
        <w:spacing w:line="276" w:lineRule="auto"/>
        <w:ind w:firstLine="0"/>
        <w:rPr>
          <w:rFonts w:ascii="Times New Roman" w:hAnsi="Times New Roman" w:cs="Times New Roman"/>
          <w:lang w:val="en-GB"/>
        </w:rPr>
      </w:pPr>
    </w:p>
    <w:p w14:paraId="444E7ECA" w14:textId="1262EFCA" w:rsidR="00351FC5" w:rsidRPr="007504E6" w:rsidRDefault="00351FC5" w:rsidP="00D2159E">
      <w:pPr>
        <w:spacing w:line="276" w:lineRule="auto"/>
        <w:ind w:firstLine="0"/>
        <w:rPr>
          <w:rFonts w:ascii="Times New Roman" w:hAnsi="Times New Roman" w:cs="Times New Roman"/>
          <w:lang w:val="en-GB"/>
        </w:rPr>
      </w:pPr>
    </w:p>
    <w:p w14:paraId="7895DB24" w14:textId="2804EE37" w:rsidR="00351FC5" w:rsidRPr="007504E6" w:rsidRDefault="00351FC5" w:rsidP="00D2159E">
      <w:pPr>
        <w:spacing w:line="276" w:lineRule="auto"/>
        <w:ind w:firstLine="0"/>
        <w:rPr>
          <w:rFonts w:ascii="Times New Roman" w:hAnsi="Times New Roman" w:cs="Times New Roman"/>
          <w:lang w:val="en-GB"/>
        </w:rPr>
      </w:pPr>
    </w:p>
    <w:p w14:paraId="60336A74" w14:textId="2F87C001" w:rsidR="00351FC5" w:rsidRPr="007504E6" w:rsidRDefault="00351FC5" w:rsidP="00D2159E">
      <w:pPr>
        <w:spacing w:line="276" w:lineRule="auto"/>
        <w:ind w:firstLine="0"/>
        <w:rPr>
          <w:rFonts w:ascii="Times New Roman" w:hAnsi="Times New Roman" w:cs="Times New Roman"/>
          <w:lang w:val="en-GB"/>
        </w:rPr>
      </w:pPr>
    </w:p>
    <w:p w14:paraId="032D7EFB" w14:textId="77777777" w:rsidR="00351FC5" w:rsidRPr="007504E6" w:rsidRDefault="00351FC5" w:rsidP="00D2159E">
      <w:pPr>
        <w:spacing w:line="276" w:lineRule="auto"/>
        <w:ind w:firstLine="0"/>
        <w:rPr>
          <w:rFonts w:ascii="Times New Roman" w:hAnsi="Times New Roman" w:cs="Times New Roman"/>
          <w:lang w:val="en-GB"/>
        </w:rPr>
      </w:pPr>
    </w:p>
    <w:p w14:paraId="480130A7" w14:textId="7F02EE3D" w:rsidR="005F622A" w:rsidRPr="007504E6" w:rsidRDefault="00BF5923" w:rsidP="005F622A">
      <w:pPr>
        <w:pStyle w:val="Parakstszemobjekta"/>
        <w:spacing w:after="0"/>
        <w:jc w:val="right"/>
        <w:rPr>
          <w:lang w:val="en-GB"/>
        </w:rPr>
      </w:pPr>
      <w:r w:rsidRPr="007504E6">
        <w:rPr>
          <w:lang w:val="en-GB"/>
        </w:rPr>
        <w:t>Table</w:t>
      </w:r>
      <w:r w:rsidR="001B0C98" w:rsidRPr="007504E6">
        <w:rPr>
          <w:lang w:val="en-GB"/>
        </w:rPr>
        <w:t xml:space="preserve">  </w:t>
      </w:r>
      <w:r w:rsidR="00D64210" w:rsidRPr="007504E6">
        <w:rPr>
          <w:lang w:val="en-GB"/>
        </w:rPr>
        <w:fldChar w:fldCharType="begin"/>
      </w:r>
      <w:r w:rsidR="00D64210" w:rsidRPr="007504E6">
        <w:rPr>
          <w:lang w:val="en-GB"/>
        </w:rPr>
        <w:instrText xml:space="preserve"> SEQ Tab._ \* ARABIC </w:instrText>
      </w:r>
      <w:r w:rsidR="00D64210" w:rsidRPr="007504E6">
        <w:rPr>
          <w:lang w:val="en-GB"/>
        </w:rPr>
        <w:fldChar w:fldCharType="separate"/>
      </w:r>
      <w:r w:rsidR="00D500F7">
        <w:rPr>
          <w:noProof/>
          <w:lang w:val="en-GB"/>
        </w:rPr>
        <w:t>9</w:t>
      </w:r>
      <w:r w:rsidR="00D64210" w:rsidRPr="007504E6">
        <w:rPr>
          <w:noProof/>
          <w:lang w:val="en-GB"/>
        </w:rPr>
        <w:fldChar w:fldCharType="end"/>
      </w:r>
      <w:r w:rsidR="001B0C98" w:rsidRPr="007504E6">
        <w:rPr>
          <w:lang w:val="en-GB"/>
        </w:rPr>
        <w:t>.</w:t>
      </w:r>
    </w:p>
    <w:p w14:paraId="2799C883" w14:textId="7DEEEAC2" w:rsidR="00327E52" w:rsidRPr="007504E6" w:rsidRDefault="00327E52" w:rsidP="005F622A">
      <w:pPr>
        <w:pStyle w:val="Parakstszemobjekta"/>
        <w:spacing w:after="0"/>
        <w:jc w:val="right"/>
        <w:rPr>
          <w:rFonts w:ascii="Times New Roman" w:hAnsi="Times New Roman" w:cs="Times New Roman"/>
          <w:lang w:val="en-GB"/>
        </w:rPr>
      </w:pPr>
      <w:r w:rsidRPr="007504E6">
        <w:rPr>
          <w:rFonts w:ascii="Times New Roman" w:hAnsi="Times New Roman" w:cs="Times New Roman"/>
          <w:lang w:val="en-GB"/>
        </w:rPr>
        <w:t xml:space="preserve"> </w:t>
      </w:r>
      <w:r w:rsidR="00EE3B5C" w:rsidRPr="007504E6">
        <w:rPr>
          <w:rFonts w:ascii="Times New Roman" w:hAnsi="Times New Roman" w:cs="Times New Roman"/>
          <w:lang w:val="en-GB"/>
        </w:rPr>
        <w:t>Expert assessment of profit margin, which would be acceptable for Latvian entrepreneurs in different sub-sectors under certain growth scenarios of construction output</w:t>
      </w:r>
      <w:r w:rsidR="006E766D" w:rsidRPr="007504E6">
        <w:rPr>
          <w:rFonts w:ascii="Times New Roman" w:hAnsi="Times New Roman" w:cs="Times New Roman"/>
          <w:lang w:val="en-GB"/>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276"/>
        <w:gridCol w:w="1134"/>
        <w:gridCol w:w="1559"/>
        <w:gridCol w:w="1276"/>
        <w:gridCol w:w="1984"/>
      </w:tblGrid>
      <w:tr w:rsidR="00EE3B5C" w:rsidRPr="007504E6" w14:paraId="2CF19859" w14:textId="77777777" w:rsidTr="00D2159E">
        <w:trPr>
          <w:trHeight w:val="288"/>
        </w:trPr>
        <w:tc>
          <w:tcPr>
            <w:tcW w:w="1838" w:type="dxa"/>
            <w:shd w:val="clear" w:color="auto" w:fill="D9D9D9" w:themeFill="background1" w:themeFillShade="D9"/>
            <w:noWrap/>
            <w:vAlign w:val="center"/>
            <w:hideMark/>
          </w:tcPr>
          <w:p w14:paraId="30E5BDD4" w14:textId="0BA0A4CC" w:rsidR="00EE3B5C" w:rsidRPr="007504E6" w:rsidRDefault="00EE3B5C" w:rsidP="00EE3B5C">
            <w:pPr>
              <w:spacing w:line="276" w:lineRule="auto"/>
              <w:ind w:firstLine="0"/>
              <w:jc w:val="center"/>
              <w:rPr>
                <w:rFonts w:ascii="Times New Roman" w:eastAsia="Times New Roman" w:hAnsi="Times New Roman" w:cs="Times New Roman"/>
                <w:sz w:val="18"/>
                <w:szCs w:val="18"/>
                <w:lang w:val="en-GB" w:eastAsia="lv-LV"/>
              </w:rPr>
            </w:pPr>
            <w:r w:rsidRPr="007504E6">
              <w:rPr>
                <w:sz w:val="18"/>
                <w:szCs w:val="18"/>
                <w:lang w:val="en-GB"/>
              </w:rPr>
              <w:t>Construction volume change scenarios</w:t>
            </w:r>
          </w:p>
        </w:tc>
        <w:tc>
          <w:tcPr>
            <w:tcW w:w="1276" w:type="dxa"/>
            <w:shd w:val="clear" w:color="auto" w:fill="D9D9D9" w:themeFill="background1" w:themeFillShade="D9"/>
            <w:noWrap/>
            <w:vAlign w:val="center"/>
            <w:hideMark/>
          </w:tcPr>
          <w:p w14:paraId="78B03C64" w14:textId="41DAF54F" w:rsidR="00EE3B5C" w:rsidRPr="007504E6" w:rsidRDefault="00EE3B5C" w:rsidP="00EE3B5C">
            <w:pPr>
              <w:spacing w:line="276" w:lineRule="auto"/>
              <w:ind w:firstLine="0"/>
              <w:jc w:val="center"/>
              <w:rPr>
                <w:rFonts w:ascii="Times New Roman" w:eastAsia="Times New Roman" w:hAnsi="Times New Roman" w:cs="Times New Roman"/>
                <w:sz w:val="18"/>
                <w:szCs w:val="18"/>
                <w:lang w:val="en-GB" w:eastAsia="lv-LV"/>
              </w:rPr>
            </w:pPr>
            <w:r w:rsidRPr="007504E6">
              <w:rPr>
                <w:sz w:val="18"/>
                <w:szCs w:val="18"/>
                <w:lang w:val="en-GB"/>
              </w:rPr>
              <w:t>Building construction </w:t>
            </w:r>
            <w:r w:rsidR="00791BF7" w:rsidRPr="007504E6">
              <w:rPr>
                <w:sz w:val="18"/>
                <w:szCs w:val="18"/>
                <w:lang w:val="en-GB"/>
              </w:rPr>
              <w:t>s</w:t>
            </w:r>
            <w:r w:rsidRPr="007504E6">
              <w:rPr>
                <w:sz w:val="18"/>
                <w:szCs w:val="18"/>
                <w:lang w:val="en-GB"/>
              </w:rPr>
              <w:t>ub-sector</w:t>
            </w:r>
          </w:p>
        </w:tc>
        <w:tc>
          <w:tcPr>
            <w:tcW w:w="1134" w:type="dxa"/>
            <w:shd w:val="clear" w:color="auto" w:fill="D9D9D9" w:themeFill="background1" w:themeFillShade="D9"/>
            <w:noWrap/>
            <w:vAlign w:val="center"/>
            <w:hideMark/>
          </w:tcPr>
          <w:p w14:paraId="1C09B906" w14:textId="62351B43" w:rsidR="00EE3B5C" w:rsidRPr="007504E6" w:rsidRDefault="00EE3B5C" w:rsidP="00EE3B5C">
            <w:pPr>
              <w:spacing w:line="276" w:lineRule="auto"/>
              <w:ind w:firstLine="0"/>
              <w:jc w:val="center"/>
              <w:rPr>
                <w:rFonts w:ascii="Times New Roman" w:eastAsia="Times New Roman" w:hAnsi="Times New Roman" w:cs="Times New Roman"/>
                <w:sz w:val="18"/>
                <w:szCs w:val="18"/>
                <w:lang w:val="en-GB" w:eastAsia="lv-LV"/>
              </w:rPr>
            </w:pPr>
            <w:r w:rsidRPr="007504E6">
              <w:rPr>
                <w:sz w:val="18"/>
                <w:szCs w:val="18"/>
                <w:lang w:val="en-GB"/>
              </w:rPr>
              <w:t>Transport object construction </w:t>
            </w:r>
            <w:r w:rsidR="00791BF7" w:rsidRPr="007504E6">
              <w:rPr>
                <w:sz w:val="18"/>
                <w:szCs w:val="18"/>
                <w:lang w:val="en-GB"/>
              </w:rPr>
              <w:t>sub-sector</w:t>
            </w:r>
          </w:p>
        </w:tc>
        <w:tc>
          <w:tcPr>
            <w:tcW w:w="1559" w:type="dxa"/>
            <w:shd w:val="clear" w:color="auto" w:fill="D9D9D9" w:themeFill="background1" w:themeFillShade="D9"/>
            <w:noWrap/>
            <w:vAlign w:val="center"/>
            <w:hideMark/>
          </w:tcPr>
          <w:p w14:paraId="3C0BD5D9" w14:textId="41D7A456" w:rsidR="00EE3B5C" w:rsidRPr="007504E6" w:rsidRDefault="00EE3B5C" w:rsidP="00EE3B5C">
            <w:pPr>
              <w:spacing w:line="276" w:lineRule="auto"/>
              <w:ind w:firstLine="0"/>
              <w:jc w:val="center"/>
              <w:rPr>
                <w:rFonts w:ascii="Times New Roman" w:eastAsia="Times New Roman" w:hAnsi="Times New Roman" w:cs="Times New Roman"/>
                <w:sz w:val="18"/>
                <w:szCs w:val="18"/>
                <w:lang w:val="en-GB" w:eastAsia="lv-LV"/>
              </w:rPr>
            </w:pPr>
            <w:r w:rsidRPr="007504E6">
              <w:rPr>
                <w:sz w:val="18"/>
                <w:szCs w:val="18"/>
                <w:lang w:val="en-GB"/>
              </w:rPr>
              <w:t>City infrastructure object construction </w:t>
            </w:r>
            <w:r w:rsidR="00791BF7" w:rsidRPr="007504E6">
              <w:rPr>
                <w:sz w:val="18"/>
                <w:szCs w:val="18"/>
                <w:lang w:val="en-GB"/>
              </w:rPr>
              <w:t>sub-sector</w:t>
            </w:r>
          </w:p>
        </w:tc>
        <w:tc>
          <w:tcPr>
            <w:tcW w:w="1276" w:type="dxa"/>
            <w:shd w:val="clear" w:color="auto" w:fill="D9D9D9" w:themeFill="background1" w:themeFillShade="D9"/>
            <w:noWrap/>
            <w:vAlign w:val="center"/>
            <w:hideMark/>
          </w:tcPr>
          <w:p w14:paraId="2D17C84A" w14:textId="0BDB6CD9" w:rsidR="00EE3B5C" w:rsidRPr="007504E6" w:rsidRDefault="00EE3B5C" w:rsidP="00EE3B5C">
            <w:pPr>
              <w:spacing w:line="276" w:lineRule="auto"/>
              <w:ind w:firstLine="0"/>
              <w:jc w:val="center"/>
              <w:rPr>
                <w:rFonts w:ascii="Times New Roman" w:eastAsia="Times New Roman" w:hAnsi="Times New Roman" w:cs="Times New Roman"/>
                <w:sz w:val="18"/>
                <w:szCs w:val="18"/>
                <w:lang w:val="en-GB" w:eastAsia="lv-LV"/>
              </w:rPr>
            </w:pPr>
            <w:r w:rsidRPr="007504E6">
              <w:rPr>
                <w:sz w:val="18"/>
                <w:szCs w:val="18"/>
                <w:lang w:val="en-GB"/>
              </w:rPr>
              <w:t>Specialized construction </w:t>
            </w:r>
            <w:r w:rsidR="00791BF7" w:rsidRPr="007504E6">
              <w:rPr>
                <w:sz w:val="18"/>
                <w:szCs w:val="18"/>
                <w:lang w:val="en-GB"/>
              </w:rPr>
              <w:t>sub-sector</w:t>
            </w:r>
          </w:p>
        </w:tc>
        <w:tc>
          <w:tcPr>
            <w:tcW w:w="1984" w:type="dxa"/>
            <w:shd w:val="clear" w:color="auto" w:fill="D9D9D9" w:themeFill="background1" w:themeFillShade="D9"/>
            <w:noWrap/>
            <w:vAlign w:val="center"/>
            <w:hideMark/>
          </w:tcPr>
          <w:p w14:paraId="046B8C4A" w14:textId="6005C3F9" w:rsidR="00EE3B5C" w:rsidRPr="007504E6" w:rsidRDefault="00EE3B5C" w:rsidP="00EE3B5C">
            <w:pPr>
              <w:spacing w:line="276" w:lineRule="auto"/>
              <w:ind w:firstLine="0"/>
              <w:jc w:val="center"/>
              <w:rPr>
                <w:rFonts w:ascii="Times New Roman" w:eastAsia="Times New Roman" w:hAnsi="Times New Roman" w:cs="Times New Roman"/>
                <w:sz w:val="18"/>
                <w:szCs w:val="18"/>
                <w:lang w:val="en-GB" w:eastAsia="lv-LV"/>
              </w:rPr>
            </w:pPr>
            <w:r w:rsidRPr="007504E6">
              <w:rPr>
                <w:sz w:val="18"/>
                <w:szCs w:val="18"/>
                <w:lang w:val="en-GB"/>
              </w:rPr>
              <w:t>Architectural and engineering </w:t>
            </w:r>
            <w:r w:rsidR="00791BF7" w:rsidRPr="007504E6">
              <w:rPr>
                <w:sz w:val="18"/>
                <w:szCs w:val="18"/>
                <w:lang w:val="en-GB"/>
              </w:rPr>
              <w:t>s</w:t>
            </w:r>
            <w:r w:rsidRPr="007504E6">
              <w:rPr>
                <w:sz w:val="18"/>
                <w:szCs w:val="18"/>
                <w:lang w:val="en-GB"/>
              </w:rPr>
              <w:t>ervices, technical testing and analysis </w:t>
            </w:r>
            <w:r w:rsidR="00791BF7" w:rsidRPr="007504E6">
              <w:rPr>
                <w:sz w:val="18"/>
                <w:szCs w:val="18"/>
                <w:lang w:val="en-GB"/>
              </w:rPr>
              <w:t>sub-sector</w:t>
            </w:r>
          </w:p>
        </w:tc>
      </w:tr>
      <w:tr w:rsidR="00EE3B5C" w:rsidRPr="007504E6" w14:paraId="31A5E67C" w14:textId="77777777" w:rsidTr="00D2159E">
        <w:trPr>
          <w:trHeight w:val="288"/>
        </w:trPr>
        <w:tc>
          <w:tcPr>
            <w:tcW w:w="1838" w:type="dxa"/>
            <w:noWrap/>
            <w:vAlign w:val="center"/>
            <w:hideMark/>
          </w:tcPr>
          <w:p w14:paraId="4B6E6147" w14:textId="7036AB4E" w:rsidR="00EE3B5C" w:rsidRPr="007504E6" w:rsidRDefault="00EE3B5C" w:rsidP="00EE3B5C">
            <w:pPr>
              <w:spacing w:line="276" w:lineRule="auto"/>
              <w:ind w:firstLine="0"/>
              <w:jc w:val="center"/>
              <w:rPr>
                <w:rFonts w:ascii="Times New Roman" w:eastAsia="Times New Roman" w:hAnsi="Times New Roman" w:cs="Times New Roman"/>
                <w:sz w:val="18"/>
                <w:szCs w:val="18"/>
                <w:lang w:val="en-GB" w:eastAsia="lv-LV"/>
              </w:rPr>
            </w:pPr>
            <w:r w:rsidRPr="007504E6">
              <w:rPr>
                <w:sz w:val="18"/>
                <w:szCs w:val="18"/>
                <w:lang w:val="en-GB"/>
              </w:rPr>
              <w:t>-20% to -10%</w:t>
            </w:r>
          </w:p>
        </w:tc>
        <w:tc>
          <w:tcPr>
            <w:tcW w:w="1276" w:type="dxa"/>
            <w:noWrap/>
            <w:vAlign w:val="center"/>
            <w:hideMark/>
          </w:tcPr>
          <w:p w14:paraId="6496BD8D" w14:textId="29F74C5C" w:rsidR="00EE3B5C" w:rsidRPr="007504E6" w:rsidRDefault="00EE3B5C" w:rsidP="00EE3B5C">
            <w:pPr>
              <w:spacing w:line="276" w:lineRule="auto"/>
              <w:ind w:firstLine="0"/>
              <w:jc w:val="center"/>
              <w:rPr>
                <w:rFonts w:ascii="Times New Roman" w:eastAsia="Times New Roman" w:hAnsi="Times New Roman" w:cs="Times New Roman"/>
                <w:sz w:val="18"/>
                <w:szCs w:val="18"/>
                <w:lang w:val="en-GB" w:eastAsia="lv-LV"/>
              </w:rPr>
            </w:pPr>
            <w:r w:rsidRPr="007504E6">
              <w:rPr>
                <w:sz w:val="18"/>
                <w:szCs w:val="18"/>
                <w:lang w:val="en-GB"/>
              </w:rPr>
              <w:t>3.8</w:t>
            </w:r>
          </w:p>
        </w:tc>
        <w:tc>
          <w:tcPr>
            <w:tcW w:w="1134" w:type="dxa"/>
            <w:noWrap/>
            <w:vAlign w:val="center"/>
            <w:hideMark/>
          </w:tcPr>
          <w:p w14:paraId="05F2C57C" w14:textId="2184C74A" w:rsidR="00EE3B5C" w:rsidRPr="007504E6" w:rsidRDefault="00EE3B5C" w:rsidP="00EE3B5C">
            <w:pPr>
              <w:spacing w:line="276" w:lineRule="auto"/>
              <w:ind w:firstLine="0"/>
              <w:jc w:val="center"/>
              <w:rPr>
                <w:rFonts w:ascii="Times New Roman" w:eastAsia="Times New Roman" w:hAnsi="Times New Roman" w:cs="Times New Roman"/>
                <w:sz w:val="18"/>
                <w:szCs w:val="18"/>
                <w:lang w:val="en-GB" w:eastAsia="lv-LV"/>
              </w:rPr>
            </w:pPr>
            <w:r w:rsidRPr="007504E6">
              <w:rPr>
                <w:sz w:val="18"/>
                <w:szCs w:val="18"/>
                <w:lang w:val="en-GB"/>
              </w:rPr>
              <w:t>2.2</w:t>
            </w:r>
          </w:p>
        </w:tc>
        <w:tc>
          <w:tcPr>
            <w:tcW w:w="1559" w:type="dxa"/>
            <w:noWrap/>
            <w:vAlign w:val="center"/>
            <w:hideMark/>
          </w:tcPr>
          <w:p w14:paraId="4D8ED1CE" w14:textId="50DCC2EE" w:rsidR="00EE3B5C" w:rsidRPr="007504E6" w:rsidRDefault="00EE3B5C" w:rsidP="00EE3B5C">
            <w:pPr>
              <w:spacing w:line="276" w:lineRule="auto"/>
              <w:ind w:firstLine="0"/>
              <w:jc w:val="center"/>
              <w:rPr>
                <w:rFonts w:ascii="Times New Roman" w:eastAsia="Times New Roman" w:hAnsi="Times New Roman" w:cs="Times New Roman"/>
                <w:sz w:val="18"/>
                <w:szCs w:val="18"/>
                <w:lang w:val="en-GB" w:eastAsia="lv-LV"/>
              </w:rPr>
            </w:pPr>
            <w:r w:rsidRPr="007504E6">
              <w:rPr>
                <w:sz w:val="18"/>
                <w:szCs w:val="18"/>
                <w:lang w:val="en-GB"/>
              </w:rPr>
              <w:t>4.2</w:t>
            </w:r>
          </w:p>
        </w:tc>
        <w:tc>
          <w:tcPr>
            <w:tcW w:w="1276" w:type="dxa"/>
            <w:noWrap/>
            <w:vAlign w:val="center"/>
            <w:hideMark/>
          </w:tcPr>
          <w:p w14:paraId="7B13A8AB" w14:textId="68CA0005" w:rsidR="00EE3B5C" w:rsidRPr="007504E6" w:rsidRDefault="00EE3B5C" w:rsidP="00EE3B5C">
            <w:pPr>
              <w:spacing w:line="276" w:lineRule="auto"/>
              <w:ind w:firstLine="0"/>
              <w:jc w:val="center"/>
              <w:rPr>
                <w:rFonts w:ascii="Times New Roman" w:eastAsia="Times New Roman" w:hAnsi="Times New Roman" w:cs="Times New Roman"/>
                <w:sz w:val="18"/>
                <w:szCs w:val="18"/>
                <w:lang w:val="en-GB" w:eastAsia="lv-LV"/>
              </w:rPr>
            </w:pPr>
            <w:r w:rsidRPr="007504E6">
              <w:rPr>
                <w:sz w:val="18"/>
                <w:szCs w:val="18"/>
                <w:lang w:val="en-GB"/>
              </w:rPr>
              <w:t>7.4</w:t>
            </w:r>
          </w:p>
        </w:tc>
        <w:tc>
          <w:tcPr>
            <w:tcW w:w="1984" w:type="dxa"/>
            <w:noWrap/>
            <w:vAlign w:val="center"/>
            <w:hideMark/>
          </w:tcPr>
          <w:p w14:paraId="3C3AAA59" w14:textId="5CBCCFD2" w:rsidR="00EE3B5C" w:rsidRPr="007504E6" w:rsidRDefault="00EE3B5C" w:rsidP="00EE3B5C">
            <w:pPr>
              <w:spacing w:line="276" w:lineRule="auto"/>
              <w:ind w:firstLine="0"/>
              <w:jc w:val="center"/>
              <w:rPr>
                <w:rFonts w:ascii="Times New Roman" w:eastAsia="Times New Roman" w:hAnsi="Times New Roman" w:cs="Times New Roman"/>
                <w:sz w:val="18"/>
                <w:szCs w:val="18"/>
                <w:lang w:val="en-GB" w:eastAsia="lv-LV"/>
              </w:rPr>
            </w:pPr>
            <w:r w:rsidRPr="007504E6">
              <w:rPr>
                <w:sz w:val="18"/>
                <w:szCs w:val="18"/>
                <w:lang w:val="en-GB"/>
              </w:rPr>
              <w:t>7.5</w:t>
            </w:r>
          </w:p>
        </w:tc>
      </w:tr>
      <w:tr w:rsidR="00EE3B5C" w:rsidRPr="007504E6" w14:paraId="06BB3F04" w14:textId="77777777" w:rsidTr="00D2159E">
        <w:trPr>
          <w:trHeight w:val="288"/>
        </w:trPr>
        <w:tc>
          <w:tcPr>
            <w:tcW w:w="1838" w:type="dxa"/>
            <w:noWrap/>
            <w:vAlign w:val="center"/>
            <w:hideMark/>
          </w:tcPr>
          <w:p w14:paraId="4487E7D5" w14:textId="38CFE1F7" w:rsidR="00EE3B5C" w:rsidRPr="007504E6" w:rsidRDefault="00EE3B5C" w:rsidP="00EE3B5C">
            <w:pPr>
              <w:spacing w:line="276" w:lineRule="auto"/>
              <w:ind w:firstLine="0"/>
              <w:jc w:val="center"/>
              <w:rPr>
                <w:rFonts w:ascii="Times New Roman" w:eastAsia="Times New Roman" w:hAnsi="Times New Roman" w:cs="Times New Roman"/>
                <w:sz w:val="18"/>
                <w:szCs w:val="18"/>
                <w:lang w:val="en-GB" w:eastAsia="lv-LV"/>
              </w:rPr>
            </w:pPr>
            <w:r w:rsidRPr="007504E6">
              <w:rPr>
                <w:sz w:val="18"/>
                <w:szCs w:val="18"/>
                <w:lang w:val="en-GB"/>
              </w:rPr>
              <w:t>-10% to -0%</w:t>
            </w:r>
          </w:p>
        </w:tc>
        <w:tc>
          <w:tcPr>
            <w:tcW w:w="1276" w:type="dxa"/>
            <w:noWrap/>
            <w:vAlign w:val="center"/>
            <w:hideMark/>
          </w:tcPr>
          <w:p w14:paraId="2CD5A67B" w14:textId="55B06CBA" w:rsidR="00EE3B5C" w:rsidRPr="007504E6" w:rsidRDefault="00EE3B5C" w:rsidP="00EE3B5C">
            <w:pPr>
              <w:spacing w:line="276" w:lineRule="auto"/>
              <w:ind w:firstLine="0"/>
              <w:jc w:val="center"/>
              <w:rPr>
                <w:rFonts w:ascii="Times New Roman" w:eastAsia="Times New Roman" w:hAnsi="Times New Roman" w:cs="Times New Roman"/>
                <w:sz w:val="18"/>
                <w:szCs w:val="18"/>
                <w:lang w:val="en-GB" w:eastAsia="lv-LV"/>
              </w:rPr>
            </w:pPr>
            <w:r w:rsidRPr="007504E6">
              <w:rPr>
                <w:sz w:val="18"/>
                <w:szCs w:val="18"/>
                <w:lang w:val="en-GB"/>
              </w:rPr>
              <w:t>4.5</w:t>
            </w:r>
          </w:p>
        </w:tc>
        <w:tc>
          <w:tcPr>
            <w:tcW w:w="1134" w:type="dxa"/>
            <w:noWrap/>
            <w:vAlign w:val="center"/>
            <w:hideMark/>
          </w:tcPr>
          <w:p w14:paraId="1B6076D5" w14:textId="2358E3E2" w:rsidR="00EE3B5C" w:rsidRPr="007504E6" w:rsidRDefault="00EE3B5C" w:rsidP="00EE3B5C">
            <w:pPr>
              <w:spacing w:line="276" w:lineRule="auto"/>
              <w:ind w:firstLine="0"/>
              <w:jc w:val="center"/>
              <w:rPr>
                <w:rFonts w:ascii="Times New Roman" w:eastAsia="Times New Roman" w:hAnsi="Times New Roman" w:cs="Times New Roman"/>
                <w:sz w:val="18"/>
                <w:szCs w:val="18"/>
                <w:lang w:val="en-GB" w:eastAsia="lv-LV"/>
              </w:rPr>
            </w:pPr>
            <w:r w:rsidRPr="007504E6">
              <w:rPr>
                <w:sz w:val="18"/>
                <w:szCs w:val="18"/>
                <w:lang w:val="en-GB"/>
              </w:rPr>
              <w:t>3.2</w:t>
            </w:r>
          </w:p>
        </w:tc>
        <w:tc>
          <w:tcPr>
            <w:tcW w:w="1559" w:type="dxa"/>
            <w:noWrap/>
            <w:vAlign w:val="center"/>
            <w:hideMark/>
          </w:tcPr>
          <w:p w14:paraId="5EBB7B0E" w14:textId="23D7D1B6" w:rsidR="00EE3B5C" w:rsidRPr="007504E6" w:rsidRDefault="00EE3B5C" w:rsidP="00EE3B5C">
            <w:pPr>
              <w:spacing w:line="276" w:lineRule="auto"/>
              <w:ind w:firstLine="0"/>
              <w:jc w:val="center"/>
              <w:rPr>
                <w:rFonts w:ascii="Times New Roman" w:eastAsia="Times New Roman" w:hAnsi="Times New Roman" w:cs="Times New Roman"/>
                <w:sz w:val="18"/>
                <w:szCs w:val="18"/>
                <w:lang w:val="en-GB" w:eastAsia="lv-LV"/>
              </w:rPr>
            </w:pPr>
            <w:r w:rsidRPr="007504E6">
              <w:rPr>
                <w:sz w:val="18"/>
                <w:szCs w:val="18"/>
                <w:lang w:val="en-GB"/>
              </w:rPr>
              <w:t>4.6</w:t>
            </w:r>
          </w:p>
        </w:tc>
        <w:tc>
          <w:tcPr>
            <w:tcW w:w="1276" w:type="dxa"/>
            <w:noWrap/>
            <w:vAlign w:val="center"/>
            <w:hideMark/>
          </w:tcPr>
          <w:p w14:paraId="596CB255" w14:textId="55C8A88E" w:rsidR="00EE3B5C" w:rsidRPr="007504E6" w:rsidRDefault="00EE3B5C" w:rsidP="00EE3B5C">
            <w:pPr>
              <w:spacing w:line="276" w:lineRule="auto"/>
              <w:ind w:firstLine="0"/>
              <w:jc w:val="center"/>
              <w:rPr>
                <w:rFonts w:ascii="Times New Roman" w:eastAsia="Times New Roman" w:hAnsi="Times New Roman" w:cs="Times New Roman"/>
                <w:sz w:val="18"/>
                <w:szCs w:val="18"/>
                <w:lang w:val="en-GB" w:eastAsia="lv-LV"/>
              </w:rPr>
            </w:pPr>
            <w:r w:rsidRPr="007504E6">
              <w:rPr>
                <w:sz w:val="18"/>
                <w:szCs w:val="18"/>
                <w:lang w:val="en-GB"/>
              </w:rPr>
              <w:t>5.8</w:t>
            </w:r>
          </w:p>
        </w:tc>
        <w:tc>
          <w:tcPr>
            <w:tcW w:w="1984" w:type="dxa"/>
            <w:noWrap/>
            <w:vAlign w:val="center"/>
            <w:hideMark/>
          </w:tcPr>
          <w:p w14:paraId="3A025673" w14:textId="5F337E4D" w:rsidR="00EE3B5C" w:rsidRPr="007504E6" w:rsidRDefault="00EE3B5C" w:rsidP="00EE3B5C">
            <w:pPr>
              <w:spacing w:line="276" w:lineRule="auto"/>
              <w:ind w:firstLine="0"/>
              <w:jc w:val="center"/>
              <w:rPr>
                <w:rFonts w:ascii="Times New Roman" w:eastAsia="Times New Roman" w:hAnsi="Times New Roman" w:cs="Times New Roman"/>
                <w:sz w:val="18"/>
                <w:szCs w:val="18"/>
                <w:lang w:val="en-GB" w:eastAsia="lv-LV"/>
              </w:rPr>
            </w:pPr>
            <w:r w:rsidRPr="007504E6">
              <w:rPr>
                <w:sz w:val="18"/>
                <w:szCs w:val="18"/>
                <w:lang w:val="en-GB"/>
              </w:rPr>
              <w:t>7.5</w:t>
            </w:r>
          </w:p>
        </w:tc>
      </w:tr>
      <w:tr w:rsidR="00EE3B5C" w:rsidRPr="007504E6" w14:paraId="349159B8" w14:textId="77777777" w:rsidTr="00D2159E">
        <w:trPr>
          <w:trHeight w:val="288"/>
        </w:trPr>
        <w:tc>
          <w:tcPr>
            <w:tcW w:w="1838" w:type="dxa"/>
            <w:noWrap/>
            <w:vAlign w:val="center"/>
            <w:hideMark/>
          </w:tcPr>
          <w:p w14:paraId="586D29A2" w14:textId="596708A0" w:rsidR="00EE3B5C" w:rsidRPr="007504E6" w:rsidRDefault="00EE3B5C" w:rsidP="00EE3B5C">
            <w:pPr>
              <w:spacing w:line="276" w:lineRule="auto"/>
              <w:ind w:firstLine="0"/>
              <w:jc w:val="center"/>
              <w:rPr>
                <w:rFonts w:ascii="Times New Roman" w:eastAsia="Times New Roman" w:hAnsi="Times New Roman" w:cs="Times New Roman"/>
                <w:sz w:val="18"/>
                <w:szCs w:val="18"/>
                <w:lang w:val="en-GB" w:eastAsia="lv-LV"/>
              </w:rPr>
            </w:pPr>
            <w:r w:rsidRPr="007504E6">
              <w:rPr>
                <w:sz w:val="18"/>
                <w:szCs w:val="18"/>
                <w:lang w:val="en-GB"/>
              </w:rPr>
              <w:t>0% to + 10%</w:t>
            </w:r>
          </w:p>
        </w:tc>
        <w:tc>
          <w:tcPr>
            <w:tcW w:w="1276" w:type="dxa"/>
            <w:noWrap/>
            <w:vAlign w:val="center"/>
            <w:hideMark/>
          </w:tcPr>
          <w:p w14:paraId="6EE319FE" w14:textId="2DD394D0" w:rsidR="00EE3B5C" w:rsidRPr="007504E6" w:rsidRDefault="00EE3B5C" w:rsidP="00EE3B5C">
            <w:pPr>
              <w:spacing w:line="276" w:lineRule="auto"/>
              <w:ind w:firstLine="0"/>
              <w:jc w:val="center"/>
              <w:rPr>
                <w:rFonts w:ascii="Times New Roman" w:eastAsia="Times New Roman" w:hAnsi="Times New Roman" w:cs="Times New Roman"/>
                <w:sz w:val="18"/>
                <w:szCs w:val="18"/>
                <w:lang w:val="en-GB" w:eastAsia="lv-LV"/>
              </w:rPr>
            </w:pPr>
            <w:r w:rsidRPr="007504E6">
              <w:rPr>
                <w:sz w:val="18"/>
                <w:szCs w:val="18"/>
                <w:lang w:val="en-GB"/>
              </w:rPr>
              <w:t>7.0</w:t>
            </w:r>
          </w:p>
        </w:tc>
        <w:tc>
          <w:tcPr>
            <w:tcW w:w="1134" w:type="dxa"/>
            <w:noWrap/>
            <w:vAlign w:val="center"/>
            <w:hideMark/>
          </w:tcPr>
          <w:p w14:paraId="196925EE" w14:textId="1B1C2A0C" w:rsidR="00EE3B5C" w:rsidRPr="007504E6" w:rsidRDefault="00EE3B5C" w:rsidP="00EE3B5C">
            <w:pPr>
              <w:spacing w:line="276" w:lineRule="auto"/>
              <w:ind w:firstLine="0"/>
              <w:jc w:val="center"/>
              <w:rPr>
                <w:rFonts w:ascii="Times New Roman" w:eastAsia="Times New Roman" w:hAnsi="Times New Roman" w:cs="Times New Roman"/>
                <w:sz w:val="18"/>
                <w:szCs w:val="18"/>
                <w:lang w:val="en-GB" w:eastAsia="lv-LV"/>
              </w:rPr>
            </w:pPr>
            <w:r w:rsidRPr="007504E6">
              <w:rPr>
                <w:sz w:val="18"/>
                <w:szCs w:val="18"/>
                <w:lang w:val="en-GB"/>
              </w:rPr>
              <w:t>3.8</w:t>
            </w:r>
          </w:p>
        </w:tc>
        <w:tc>
          <w:tcPr>
            <w:tcW w:w="1559" w:type="dxa"/>
            <w:noWrap/>
            <w:vAlign w:val="center"/>
            <w:hideMark/>
          </w:tcPr>
          <w:p w14:paraId="71E0CA4A" w14:textId="7F8F8A3D" w:rsidR="00EE3B5C" w:rsidRPr="007504E6" w:rsidRDefault="00EE3B5C" w:rsidP="00EE3B5C">
            <w:pPr>
              <w:spacing w:line="276" w:lineRule="auto"/>
              <w:ind w:firstLine="0"/>
              <w:jc w:val="center"/>
              <w:rPr>
                <w:rFonts w:ascii="Times New Roman" w:eastAsia="Times New Roman" w:hAnsi="Times New Roman" w:cs="Times New Roman"/>
                <w:sz w:val="18"/>
                <w:szCs w:val="18"/>
                <w:lang w:val="en-GB" w:eastAsia="lv-LV"/>
              </w:rPr>
            </w:pPr>
            <w:r w:rsidRPr="007504E6">
              <w:rPr>
                <w:sz w:val="18"/>
                <w:szCs w:val="18"/>
                <w:lang w:val="en-GB"/>
              </w:rPr>
              <w:t>5.4</w:t>
            </w:r>
          </w:p>
        </w:tc>
        <w:tc>
          <w:tcPr>
            <w:tcW w:w="1276" w:type="dxa"/>
            <w:noWrap/>
            <w:vAlign w:val="center"/>
            <w:hideMark/>
          </w:tcPr>
          <w:p w14:paraId="57BD66E0" w14:textId="52F36572" w:rsidR="00EE3B5C" w:rsidRPr="007504E6" w:rsidRDefault="00EE3B5C" w:rsidP="00EE3B5C">
            <w:pPr>
              <w:spacing w:line="276" w:lineRule="auto"/>
              <w:ind w:firstLine="0"/>
              <w:jc w:val="center"/>
              <w:rPr>
                <w:rFonts w:ascii="Times New Roman" w:eastAsia="Times New Roman" w:hAnsi="Times New Roman" w:cs="Times New Roman"/>
                <w:sz w:val="18"/>
                <w:szCs w:val="18"/>
                <w:lang w:val="en-GB" w:eastAsia="lv-LV"/>
              </w:rPr>
            </w:pPr>
            <w:r w:rsidRPr="007504E6">
              <w:rPr>
                <w:sz w:val="18"/>
                <w:szCs w:val="18"/>
                <w:lang w:val="en-GB"/>
              </w:rPr>
              <w:t>8.8</w:t>
            </w:r>
          </w:p>
        </w:tc>
        <w:tc>
          <w:tcPr>
            <w:tcW w:w="1984" w:type="dxa"/>
            <w:noWrap/>
            <w:vAlign w:val="center"/>
            <w:hideMark/>
          </w:tcPr>
          <w:p w14:paraId="18209218" w14:textId="12E81D20" w:rsidR="00EE3B5C" w:rsidRPr="007504E6" w:rsidRDefault="00EE3B5C" w:rsidP="00EE3B5C">
            <w:pPr>
              <w:spacing w:line="276" w:lineRule="auto"/>
              <w:ind w:firstLine="0"/>
              <w:jc w:val="center"/>
              <w:rPr>
                <w:rFonts w:ascii="Times New Roman" w:eastAsia="Times New Roman" w:hAnsi="Times New Roman" w:cs="Times New Roman"/>
                <w:sz w:val="18"/>
                <w:szCs w:val="18"/>
                <w:lang w:val="en-GB" w:eastAsia="lv-LV"/>
              </w:rPr>
            </w:pPr>
            <w:r w:rsidRPr="007504E6">
              <w:rPr>
                <w:sz w:val="18"/>
                <w:szCs w:val="18"/>
                <w:lang w:val="en-GB"/>
              </w:rPr>
              <w:t>16.7</w:t>
            </w:r>
          </w:p>
        </w:tc>
      </w:tr>
      <w:tr w:rsidR="00EE3B5C" w:rsidRPr="007504E6" w14:paraId="69A2BD18" w14:textId="77777777" w:rsidTr="00D2159E">
        <w:trPr>
          <w:trHeight w:val="288"/>
        </w:trPr>
        <w:tc>
          <w:tcPr>
            <w:tcW w:w="1838" w:type="dxa"/>
            <w:noWrap/>
            <w:vAlign w:val="center"/>
            <w:hideMark/>
          </w:tcPr>
          <w:p w14:paraId="472BA7C2" w14:textId="64B39F2C" w:rsidR="00EE3B5C" w:rsidRPr="007504E6" w:rsidRDefault="00EE3B5C" w:rsidP="00EE3B5C">
            <w:pPr>
              <w:spacing w:line="276" w:lineRule="auto"/>
              <w:ind w:firstLine="0"/>
              <w:jc w:val="center"/>
              <w:rPr>
                <w:rFonts w:ascii="Times New Roman" w:eastAsia="Times New Roman" w:hAnsi="Times New Roman" w:cs="Times New Roman"/>
                <w:sz w:val="18"/>
                <w:szCs w:val="18"/>
                <w:lang w:val="en-GB" w:eastAsia="lv-LV"/>
              </w:rPr>
            </w:pPr>
            <w:r w:rsidRPr="007504E6">
              <w:rPr>
                <w:sz w:val="18"/>
                <w:szCs w:val="18"/>
                <w:lang w:val="en-GB"/>
              </w:rPr>
              <w:t>+ 10% to + 20%</w:t>
            </w:r>
          </w:p>
        </w:tc>
        <w:tc>
          <w:tcPr>
            <w:tcW w:w="1276" w:type="dxa"/>
            <w:noWrap/>
            <w:vAlign w:val="center"/>
            <w:hideMark/>
          </w:tcPr>
          <w:p w14:paraId="70CF94FD" w14:textId="250DF610" w:rsidR="00EE3B5C" w:rsidRPr="007504E6" w:rsidRDefault="00EE3B5C" w:rsidP="00EE3B5C">
            <w:pPr>
              <w:spacing w:line="276" w:lineRule="auto"/>
              <w:ind w:firstLine="0"/>
              <w:jc w:val="center"/>
              <w:rPr>
                <w:rFonts w:ascii="Times New Roman" w:eastAsia="Times New Roman" w:hAnsi="Times New Roman" w:cs="Times New Roman"/>
                <w:sz w:val="18"/>
                <w:szCs w:val="18"/>
                <w:lang w:val="en-GB" w:eastAsia="lv-LV"/>
              </w:rPr>
            </w:pPr>
            <w:r w:rsidRPr="007504E6">
              <w:rPr>
                <w:sz w:val="18"/>
                <w:szCs w:val="18"/>
                <w:lang w:val="en-GB"/>
              </w:rPr>
              <w:t>8.8</w:t>
            </w:r>
          </w:p>
        </w:tc>
        <w:tc>
          <w:tcPr>
            <w:tcW w:w="1134" w:type="dxa"/>
            <w:noWrap/>
            <w:vAlign w:val="center"/>
            <w:hideMark/>
          </w:tcPr>
          <w:p w14:paraId="6693B41B" w14:textId="22C36B2C" w:rsidR="00EE3B5C" w:rsidRPr="007504E6" w:rsidRDefault="00EE3B5C" w:rsidP="00EE3B5C">
            <w:pPr>
              <w:spacing w:line="276" w:lineRule="auto"/>
              <w:ind w:firstLine="0"/>
              <w:jc w:val="center"/>
              <w:rPr>
                <w:rFonts w:ascii="Times New Roman" w:eastAsia="Times New Roman" w:hAnsi="Times New Roman" w:cs="Times New Roman"/>
                <w:sz w:val="18"/>
                <w:szCs w:val="18"/>
                <w:lang w:val="en-GB" w:eastAsia="lv-LV"/>
              </w:rPr>
            </w:pPr>
            <w:r w:rsidRPr="007504E6">
              <w:rPr>
                <w:sz w:val="18"/>
                <w:szCs w:val="18"/>
                <w:lang w:val="en-GB"/>
              </w:rPr>
              <w:t>5.5</w:t>
            </w:r>
          </w:p>
        </w:tc>
        <w:tc>
          <w:tcPr>
            <w:tcW w:w="1559" w:type="dxa"/>
            <w:noWrap/>
            <w:vAlign w:val="center"/>
            <w:hideMark/>
          </w:tcPr>
          <w:p w14:paraId="4B7155EF" w14:textId="3590F874" w:rsidR="00EE3B5C" w:rsidRPr="007504E6" w:rsidRDefault="00EE3B5C" w:rsidP="00EE3B5C">
            <w:pPr>
              <w:spacing w:line="276" w:lineRule="auto"/>
              <w:ind w:firstLine="0"/>
              <w:jc w:val="center"/>
              <w:rPr>
                <w:rFonts w:ascii="Times New Roman" w:eastAsia="Times New Roman" w:hAnsi="Times New Roman" w:cs="Times New Roman"/>
                <w:sz w:val="18"/>
                <w:szCs w:val="18"/>
                <w:lang w:val="en-GB" w:eastAsia="lv-LV"/>
              </w:rPr>
            </w:pPr>
            <w:r w:rsidRPr="007504E6">
              <w:rPr>
                <w:sz w:val="18"/>
                <w:szCs w:val="18"/>
                <w:lang w:val="en-GB"/>
              </w:rPr>
              <w:t>9.7</w:t>
            </w:r>
          </w:p>
        </w:tc>
        <w:tc>
          <w:tcPr>
            <w:tcW w:w="1276" w:type="dxa"/>
            <w:noWrap/>
            <w:vAlign w:val="center"/>
            <w:hideMark/>
          </w:tcPr>
          <w:p w14:paraId="55FAA1C4" w14:textId="0D9BAFB9" w:rsidR="00EE3B5C" w:rsidRPr="007504E6" w:rsidRDefault="00EE3B5C" w:rsidP="00EE3B5C">
            <w:pPr>
              <w:spacing w:line="276" w:lineRule="auto"/>
              <w:ind w:firstLine="0"/>
              <w:jc w:val="center"/>
              <w:rPr>
                <w:rFonts w:ascii="Times New Roman" w:eastAsia="Times New Roman" w:hAnsi="Times New Roman" w:cs="Times New Roman"/>
                <w:sz w:val="18"/>
                <w:szCs w:val="18"/>
                <w:lang w:val="en-GB" w:eastAsia="lv-LV"/>
              </w:rPr>
            </w:pPr>
            <w:r w:rsidRPr="007504E6">
              <w:rPr>
                <w:sz w:val="18"/>
                <w:szCs w:val="18"/>
                <w:lang w:val="en-GB"/>
              </w:rPr>
              <w:t>10.2</w:t>
            </w:r>
          </w:p>
        </w:tc>
        <w:tc>
          <w:tcPr>
            <w:tcW w:w="1984" w:type="dxa"/>
            <w:noWrap/>
            <w:vAlign w:val="center"/>
            <w:hideMark/>
          </w:tcPr>
          <w:p w14:paraId="0B1CC448" w14:textId="2C054EF3" w:rsidR="00EE3B5C" w:rsidRPr="007504E6" w:rsidRDefault="00EE3B5C" w:rsidP="00EE3B5C">
            <w:pPr>
              <w:spacing w:line="276" w:lineRule="auto"/>
              <w:ind w:firstLine="0"/>
              <w:jc w:val="center"/>
              <w:rPr>
                <w:rFonts w:ascii="Times New Roman" w:eastAsia="Times New Roman" w:hAnsi="Times New Roman" w:cs="Times New Roman"/>
                <w:sz w:val="18"/>
                <w:szCs w:val="18"/>
                <w:lang w:val="en-GB" w:eastAsia="lv-LV"/>
              </w:rPr>
            </w:pPr>
            <w:r w:rsidRPr="007504E6">
              <w:rPr>
                <w:sz w:val="18"/>
                <w:szCs w:val="18"/>
                <w:lang w:val="en-GB"/>
              </w:rPr>
              <w:t>20.0</w:t>
            </w:r>
          </w:p>
        </w:tc>
      </w:tr>
      <w:tr w:rsidR="00EE3B5C" w:rsidRPr="007504E6" w14:paraId="4A0DB0E5" w14:textId="77777777" w:rsidTr="00D2159E">
        <w:trPr>
          <w:trHeight w:val="288"/>
        </w:trPr>
        <w:tc>
          <w:tcPr>
            <w:tcW w:w="1838" w:type="dxa"/>
            <w:noWrap/>
            <w:vAlign w:val="center"/>
            <w:hideMark/>
          </w:tcPr>
          <w:p w14:paraId="233D31BD" w14:textId="78C3C316" w:rsidR="00EE3B5C" w:rsidRPr="007504E6" w:rsidRDefault="00EE3B5C" w:rsidP="00EE3B5C">
            <w:pPr>
              <w:spacing w:line="276" w:lineRule="auto"/>
              <w:ind w:firstLine="0"/>
              <w:jc w:val="center"/>
              <w:rPr>
                <w:rFonts w:ascii="Times New Roman" w:eastAsia="Times New Roman" w:hAnsi="Times New Roman" w:cs="Times New Roman"/>
                <w:sz w:val="18"/>
                <w:szCs w:val="18"/>
                <w:lang w:val="en-GB" w:eastAsia="lv-LV"/>
              </w:rPr>
            </w:pPr>
            <w:r w:rsidRPr="007504E6">
              <w:rPr>
                <w:sz w:val="18"/>
                <w:szCs w:val="18"/>
                <w:lang w:val="en-GB"/>
              </w:rPr>
              <w:t>+ 20% to + 30%</w:t>
            </w:r>
          </w:p>
        </w:tc>
        <w:tc>
          <w:tcPr>
            <w:tcW w:w="1276" w:type="dxa"/>
            <w:noWrap/>
            <w:vAlign w:val="center"/>
            <w:hideMark/>
          </w:tcPr>
          <w:p w14:paraId="7DA9E856" w14:textId="2D9A6D74" w:rsidR="00EE3B5C" w:rsidRPr="007504E6" w:rsidRDefault="00EE3B5C" w:rsidP="00EE3B5C">
            <w:pPr>
              <w:spacing w:line="276" w:lineRule="auto"/>
              <w:ind w:firstLine="0"/>
              <w:jc w:val="center"/>
              <w:rPr>
                <w:rFonts w:ascii="Times New Roman" w:eastAsia="Times New Roman" w:hAnsi="Times New Roman" w:cs="Times New Roman"/>
                <w:sz w:val="18"/>
                <w:szCs w:val="18"/>
                <w:lang w:val="en-GB" w:eastAsia="lv-LV"/>
              </w:rPr>
            </w:pPr>
            <w:r w:rsidRPr="007504E6">
              <w:rPr>
                <w:sz w:val="18"/>
                <w:szCs w:val="18"/>
                <w:lang w:val="en-GB"/>
              </w:rPr>
              <w:t>10.8</w:t>
            </w:r>
          </w:p>
        </w:tc>
        <w:tc>
          <w:tcPr>
            <w:tcW w:w="1134" w:type="dxa"/>
            <w:noWrap/>
            <w:vAlign w:val="center"/>
            <w:hideMark/>
          </w:tcPr>
          <w:p w14:paraId="7A4332C9" w14:textId="10F4090C" w:rsidR="00EE3B5C" w:rsidRPr="007504E6" w:rsidRDefault="00EE3B5C" w:rsidP="00EE3B5C">
            <w:pPr>
              <w:spacing w:line="276" w:lineRule="auto"/>
              <w:ind w:firstLine="0"/>
              <w:jc w:val="center"/>
              <w:rPr>
                <w:rFonts w:ascii="Times New Roman" w:eastAsia="Times New Roman" w:hAnsi="Times New Roman" w:cs="Times New Roman"/>
                <w:sz w:val="18"/>
                <w:szCs w:val="18"/>
                <w:lang w:val="en-GB" w:eastAsia="lv-LV"/>
              </w:rPr>
            </w:pPr>
            <w:r w:rsidRPr="007504E6">
              <w:rPr>
                <w:sz w:val="18"/>
                <w:szCs w:val="18"/>
                <w:lang w:val="en-GB"/>
              </w:rPr>
              <w:t>7.7</w:t>
            </w:r>
          </w:p>
        </w:tc>
        <w:tc>
          <w:tcPr>
            <w:tcW w:w="1559" w:type="dxa"/>
            <w:noWrap/>
            <w:vAlign w:val="center"/>
            <w:hideMark/>
          </w:tcPr>
          <w:p w14:paraId="7F00397C" w14:textId="4788378B" w:rsidR="00EE3B5C" w:rsidRPr="007504E6" w:rsidRDefault="00EE3B5C" w:rsidP="00EE3B5C">
            <w:pPr>
              <w:spacing w:line="276" w:lineRule="auto"/>
              <w:ind w:firstLine="0"/>
              <w:jc w:val="center"/>
              <w:rPr>
                <w:rFonts w:ascii="Times New Roman" w:eastAsia="Times New Roman" w:hAnsi="Times New Roman" w:cs="Times New Roman"/>
                <w:sz w:val="18"/>
                <w:szCs w:val="18"/>
                <w:lang w:val="en-GB" w:eastAsia="lv-LV"/>
              </w:rPr>
            </w:pPr>
            <w:r w:rsidRPr="007504E6">
              <w:rPr>
                <w:sz w:val="18"/>
                <w:szCs w:val="18"/>
                <w:lang w:val="en-GB"/>
              </w:rPr>
              <w:t>9.4</w:t>
            </w:r>
          </w:p>
        </w:tc>
        <w:tc>
          <w:tcPr>
            <w:tcW w:w="1276" w:type="dxa"/>
            <w:noWrap/>
            <w:vAlign w:val="center"/>
            <w:hideMark/>
          </w:tcPr>
          <w:p w14:paraId="46AA3C9D" w14:textId="3A47D373" w:rsidR="00EE3B5C" w:rsidRPr="007504E6" w:rsidRDefault="00EE3B5C" w:rsidP="00EE3B5C">
            <w:pPr>
              <w:spacing w:line="276" w:lineRule="auto"/>
              <w:ind w:firstLine="0"/>
              <w:jc w:val="center"/>
              <w:rPr>
                <w:rFonts w:ascii="Times New Roman" w:eastAsia="Times New Roman" w:hAnsi="Times New Roman" w:cs="Times New Roman"/>
                <w:sz w:val="18"/>
                <w:szCs w:val="18"/>
                <w:lang w:val="en-GB" w:eastAsia="lv-LV"/>
              </w:rPr>
            </w:pPr>
            <w:r w:rsidRPr="007504E6">
              <w:rPr>
                <w:sz w:val="18"/>
                <w:szCs w:val="18"/>
                <w:lang w:val="en-GB"/>
              </w:rPr>
              <w:t>12.2</w:t>
            </w:r>
          </w:p>
        </w:tc>
        <w:tc>
          <w:tcPr>
            <w:tcW w:w="1984" w:type="dxa"/>
            <w:noWrap/>
            <w:vAlign w:val="center"/>
            <w:hideMark/>
          </w:tcPr>
          <w:p w14:paraId="0BE4228A" w14:textId="2028646C" w:rsidR="00EE3B5C" w:rsidRPr="007504E6" w:rsidRDefault="00EE3B5C" w:rsidP="00EE3B5C">
            <w:pPr>
              <w:spacing w:line="276" w:lineRule="auto"/>
              <w:ind w:firstLine="0"/>
              <w:jc w:val="center"/>
              <w:rPr>
                <w:rFonts w:ascii="Times New Roman" w:eastAsia="Times New Roman" w:hAnsi="Times New Roman" w:cs="Times New Roman"/>
                <w:sz w:val="18"/>
                <w:szCs w:val="18"/>
                <w:lang w:val="en-GB" w:eastAsia="lv-LV"/>
              </w:rPr>
            </w:pPr>
            <w:r w:rsidRPr="007504E6">
              <w:rPr>
                <w:sz w:val="18"/>
                <w:szCs w:val="18"/>
                <w:lang w:val="en-GB"/>
              </w:rPr>
              <w:t>21.7</w:t>
            </w:r>
          </w:p>
        </w:tc>
      </w:tr>
    </w:tbl>
    <w:p w14:paraId="16871A78" w14:textId="77777777" w:rsidR="00966AFC" w:rsidRPr="007504E6" w:rsidRDefault="00966AFC" w:rsidP="00966AFC">
      <w:pPr>
        <w:spacing w:line="276" w:lineRule="auto"/>
        <w:ind w:firstLine="0"/>
        <w:rPr>
          <w:rFonts w:ascii="Times New Roman" w:hAnsi="Times New Roman" w:cs="Times New Roman"/>
          <w:lang w:val="en-GB"/>
        </w:rPr>
      </w:pPr>
    </w:p>
    <w:p w14:paraId="26359322" w14:textId="0CD4C923" w:rsidR="00CC4189" w:rsidRPr="007504E6" w:rsidRDefault="00EE3B5C" w:rsidP="00966AFC">
      <w:pPr>
        <w:spacing w:line="276" w:lineRule="auto"/>
        <w:ind w:firstLine="0"/>
        <w:rPr>
          <w:rFonts w:ascii="Times New Roman" w:hAnsi="Times New Roman" w:cs="Times New Roman"/>
          <w:lang w:val="en-GB"/>
        </w:rPr>
      </w:pPr>
      <w:r w:rsidRPr="007504E6">
        <w:rPr>
          <w:rFonts w:ascii="Times New Roman" w:hAnsi="Times New Roman" w:cs="Times New Roman"/>
          <w:lang w:val="en-GB"/>
        </w:rPr>
        <w:t>Similar to the situation in previous studies, the sub-sector that is ready to accept the lowest profit margin in the event of a market downturn is the transport construction sub-sector. In previous studies, there were situations where this sub-sector was also willing to accept a negative profit margin, but in the current circumstances, estimates suggest otherwise. The highest profit margin in all scenarios is expected by the sub-sectors of architecture and engineering services, technical testing and analysis, which on average expect a profit margin of 7.5% with negative growth rates, but with positive profit margins from 16.7% to 21.7%. In contrast, the transport construction industry would expect a negative market growth rate of 2.2% to 3.2%, while a market growth rate of 3.8% to 7.7% would be expected. The hypothetical reason for such a willingness to lower profit margins could be a higher share of public procurement, which provides less speculative opportunities, but at the same time provides a certain amount of guarantee. Also, the largest players in the transport construction industry would have a larger turnover</w:t>
      </w:r>
      <w:r w:rsidR="008439E2" w:rsidRPr="007504E6">
        <w:rPr>
          <w:rFonts w:ascii="Times New Roman" w:hAnsi="Times New Roman" w:cs="Times New Roman"/>
          <w:lang w:val="en-GB"/>
        </w:rPr>
        <w:t>.</w:t>
      </w:r>
    </w:p>
    <w:p w14:paraId="4C2A2217" w14:textId="77777777" w:rsidR="00870B97" w:rsidRPr="007504E6" w:rsidRDefault="00870B97" w:rsidP="00B9247E">
      <w:pPr>
        <w:spacing w:line="276" w:lineRule="auto"/>
        <w:rPr>
          <w:rFonts w:ascii="Times New Roman" w:hAnsi="Times New Roman" w:cs="Times New Roman"/>
          <w:lang w:val="en-GB"/>
        </w:rPr>
      </w:pPr>
    </w:p>
    <w:p w14:paraId="5C87F356" w14:textId="558348E8" w:rsidR="00F35795" w:rsidRPr="007504E6" w:rsidRDefault="0031373D" w:rsidP="00D64210">
      <w:pPr>
        <w:pStyle w:val="Virsraksts3"/>
        <w:numPr>
          <w:ilvl w:val="2"/>
          <w:numId w:val="5"/>
        </w:numPr>
        <w:spacing w:line="276" w:lineRule="auto"/>
        <w:rPr>
          <w:rFonts w:ascii="Times New Roman" w:hAnsi="Times New Roman" w:cs="Times New Roman"/>
          <w:b/>
          <w:bCs/>
          <w:color w:val="262626" w:themeColor="text1" w:themeTint="D9"/>
          <w:sz w:val="24"/>
          <w:szCs w:val="28"/>
          <w:lang w:val="en-GB"/>
        </w:rPr>
      </w:pPr>
      <w:bookmarkStart w:id="12" w:name="_Hlk77190380"/>
      <w:r w:rsidRPr="007504E6">
        <w:rPr>
          <w:rFonts w:ascii="Times New Roman" w:hAnsi="Times New Roman" w:cs="Times New Roman"/>
          <w:b/>
          <w:bCs/>
          <w:color w:val="262626" w:themeColor="text1" w:themeTint="D9"/>
          <w:sz w:val="24"/>
          <w:szCs w:val="28"/>
          <w:lang w:val="en-GB"/>
        </w:rPr>
        <w:t>Subsector forecasts</w:t>
      </w:r>
    </w:p>
    <w:p w14:paraId="6919BC31" w14:textId="77777777" w:rsidR="00966AFC" w:rsidRPr="007504E6" w:rsidRDefault="00966AFC" w:rsidP="00966AFC">
      <w:pPr>
        <w:spacing w:line="276" w:lineRule="auto"/>
        <w:ind w:firstLine="0"/>
        <w:rPr>
          <w:rFonts w:ascii="Times New Roman" w:hAnsi="Times New Roman" w:cs="Times New Roman"/>
          <w:lang w:val="en-GB"/>
        </w:rPr>
      </w:pPr>
    </w:p>
    <w:p w14:paraId="6D22444C" w14:textId="326EA7AD" w:rsidR="00810C80" w:rsidRPr="007504E6" w:rsidRDefault="00FC1D62" w:rsidP="00966AFC">
      <w:pPr>
        <w:spacing w:line="276" w:lineRule="auto"/>
        <w:ind w:firstLine="0"/>
        <w:rPr>
          <w:rFonts w:ascii="Times New Roman" w:hAnsi="Times New Roman" w:cs="Times New Roman"/>
          <w:lang w:val="en-GB"/>
        </w:rPr>
      </w:pPr>
      <w:r w:rsidRPr="007504E6">
        <w:rPr>
          <w:rFonts w:ascii="Times New Roman" w:hAnsi="Times New Roman" w:cs="Times New Roman"/>
          <w:lang w:val="en-GB"/>
        </w:rPr>
        <w:t>Within the framework of the study, representatives of different sub-sectors were addressed separately in order to assess in detail the forecasts of changes in the volume of construction output and costs of each sub-sector for the period from 2021 to 2025. Predictions were obtained for the following objects</w:t>
      </w:r>
      <w:r w:rsidR="00810C80" w:rsidRPr="007504E6">
        <w:rPr>
          <w:rFonts w:ascii="Times New Roman" w:hAnsi="Times New Roman" w:cs="Times New Roman"/>
          <w:lang w:val="en-GB"/>
        </w:rPr>
        <w:t>:</w:t>
      </w:r>
    </w:p>
    <w:p w14:paraId="0634D39F" w14:textId="08DA3B87" w:rsidR="00FC1D62" w:rsidRPr="007504E6" w:rsidRDefault="00FC1D62" w:rsidP="00FC1D62">
      <w:pPr>
        <w:pStyle w:val="Sarakstarindkopa"/>
        <w:numPr>
          <w:ilvl w:val="0"/>
          <w:numId w:val="8"/>
        </w:numPr>
        <w:spacing w:line="276" w:lineRule="auto"/>
        <w:rPr>
          <w:rFonts w:ascii="Times New Roman" w:hAnsi="Times New Roman" w:cs="Times New Roman"/>
          <w:lang w:val="en-GB"/>
        </w:rPr>
      </w:pPr>
      <w:r w:rsidRPr="007504E6">
        <w:rPr>
          <w:rFonts w:ascii="Times New Roman" w:hAnsi="Times New Roman" w:cs="Times New Roman"/>
          <w:lang w:val="en-GB"/>
        </w:rPr>
        <w:t>Residential buildings;</w:t>
      </w:r>
    </w:p>
    <w:p w14:paraId="33A72EEA" w14:textId="17124BDE" w:rsidR="00FC1D62" w:rsidRPr="007504E6" w:rsidRDefault="00FC1D62" w:rsidP="00FC1D62">
      <w:pPr>
        <w:pStyle w:val="Sarakstarindkopa"/>
        <w:numPr>
          <w:ilvl w:val="0"/>
          <w:numId w:val="8"/>
        </w:numPr>
        <w:spacing w:line="276" w:lineRule="auto"/>
        <w:rPr>
          <w:rFonts w:ascii="Times New Roman" w:hAnsi="Times New Roman" w:cs="Times New Roman"/>
          <w:lang w:val="en-GB"/>
        </w:rPr>
      </w:pPr>
      <w:r w:rsidRPr="007504E6">
        <w:rPr>
          <w:rFonts w:ascii="Times New Roman" w:hAnsi="Times New Roman" w:cs="Times New Roman"/>
          <w:lang w:val="en-GB"/>
        </w:rPr>
        <w:t>Non-residential buildings;</w:t>
      </w:r>
    </w:p>
    <w:p w14:paraId="2FBF8AAB" w14:textId="0B1864AA" w:rsidR="00FC1D62" w:rsidRPr="007504E6" w:rsidRDefault="00FC1D62" w:rsidP="00FC1D62">
      <w:pPr>
        <w:pStyle w:val="Sarakstarindkopa"/>
        <w:numPr>
          <w:ilvl w:val="0"/>
          <w:numId w:val="8"/>
        </w:numPr>
        <w:spacing w:line="276" w:lineRule="auto"/>
        <w:rPr>
          <w:rFonts w:ascii="Times New Roman" w:hAnsi="Times New Roman" w:cs="Times New Roman"/>
          <w:lang w:val="en-GB"/>
        </w:rPr>
      </w:pPr>
      <w:r w:rsidRPr="007504E6">
        <w:rPr>
          <w:rFonts w:ascii="Times New Roman" w:hAnsi="Times New Roman" w:cs="Times New Roman"/>
          <w:lang w:val="en-GB"/>
        </w:rPr>
        <w:t>Roads and highways;</w:t>
      </w:r>
    </w:p>
    <w:p w14:paraId="62379CC8" w14:textId="3DE81A3A" w:rsidR="00FC1D62" w:rsidRPr="007504E6" w:rsidRDefault="00FC1D62" w:rsidP="00FC1D62">
      <w:pPr>
        <w:pStyle w:val="Sarakstarindkopa"/>
        <w:numPr>
          <w:ilvl w:val="0"/>
          <w:numId w:val="8"/>
        </w:numPr>
        <w:spacing w:line="276" w:lineRule="auto"/>
        <w:rPr>
          <w:rFonts w:ascii="Times New Roman" w:hAnsi="Times New Roman" w:cs="Times New Roman"/>
          <w:lang w:val="en-GB"/>
        </w:rPr>
      </w:pPr>
      <w:r w:rsidRPr="007504E6">
        <w:rPr>
          <w:rFonts w:ascii="Times New Roman" w:hAnsi="Times New Roman" w:cs="Times New Roman"/>
          <w:lang w:val="en-GB"/>
        </w:rPr>
        <w:t>Railways and metros;</w:t>
      </w:r>
    </w:p>
    <w:p w14:paraId="0A869C9F" w14:textId="3F6465F2" w:rsidR="00FC1D62" w:rsidRPr="007504E6" w:rsidRDefault="00FC1D62" w:rsidP="00FC1D62">
      <w:pPr>
        <w:pStyle w:val="Sarakstarindkopa"/>
        <w:numPr>
          <w:ilvl w:val="0"/>
          <w:numId w:val="8"/>
        </w:numPr>
        <w:spacing w:line="276" w:lineRule="auto"/>
        <w:rPr>
          <w:rFonts w:ascii="Times New Roman" w:hAnsi="Times New Roman" w:cs="Times New Roman"/>
          <w:lang w:val="en-GB"/>
        </w:rPr>
      </w:pPr>
      <w:r w:rsidRPr="007504E6">
        <w:rPr>
          <w:rFonts w:ascii="Times New Roman" w:hAnsi="Times New Roman" w:cs="Times New Roman"/>
          <w:lang w:val="en-GB"/>
        </w:rPr>
        <w:t>Bridges and tunnels;</w:t>
      </w:r>
    </w:p>
    <w:p w14:paraId="69332BD1" w14:textId="723F3848" w:rsidR="00FC1D62" w:rsidRPr="007504E6" w:rsidRDefault="00FC1D62" w:rsidP="00FC1D62">
      <w:pPr>
        <w:pStyle w:val="Sarakstarindkopa"/>
        <w:numPr>
          <w:ilvl w:val="0"/>
          <w:numId w:val="8"/>
        </w:numPr>
        <w:spacing w:line="276" w:lineRule="auto"/>
        <w:rPr>
          <w:rFonts w:ascii="Times New Roman" w:hAnsi="Times New Roman" w:cs="Times New Roman"/>
          <w:lang w:val="en-GB"/>
        </w:rPr>
      </w:pPr>
      <w:r w:rsidRPr="007504E6">
        <w:rPr>
          <w:rFonts w:ascii="Times New Roman" w:hAnsi="Times New Roman" w:cs="Times New Roman"/>
          <w:lang w:val="en-GB"/>
        </w:rPr>
        <w:t>Urban infrastructure;</w:t>
      </w:r>
    </w:p>
    <w:p w14:paraId="6B24E9A2" w14:textId="31CDC5D2" w:rsidR="00FC1D62" w:rsidRPr="007504E6" w:rsidRDefault="00FC1D62" w:rsidP="00FC1D62">
      <w:pPr>
        <w:pStyle w:val="Sarakstarindkopa"/>
        <w:numPr>
          <w:ilvl w:val="0"/>
          <w:numId w:val="8"/>
        </w:numPr>
        <w:spacing w:line="276" w:lineRule="auto"/>
        <w:rPr>
          <w:rFonts w:ascii="Times New Roman" w:hAnsi="Times New Roman" w:cs="Times New Roman"/>
          <w:lang w:val="en-GB"/>
        </w:rPr>
      </w:pPr>
      <w:r w:rsidRPr="007504E6">
        <w:rPr>
          <w:rFonts w:ascii="Times New Roman" w:hAnsi="Times New Roman" w:cs="Times New Roman"/>
          <w:lang w:val="en-GB"/>
        </w:rPr>
        <w:t>Specialized buildings;</w:t>
      </w:r>
    </w:p>
    <w:p w14:paraId="369B121E" w14:textId="54284EF6" w:rsidR="00BB4EA2" w:rsidRPr="007504E6" w:rsidRDefault="00FC1D62" w:rsidP="00FC1D62">
      <w:pPr>
        <w:pStyle w:val="Sarakstarindkopa"/>
        <w:numPr>
          <w:ilvl w:val="0"/>
          <w:numId w:val="8"/>
        </w:numPr>
        <w:spacing w:line="276" w:lineRule="auto"/>
        <w:rPr>
          <w:rFonts w:ascii="Times New Roman" w:hAnsi="Times New Roman" w:cs="Times New Roman"/>
          <w:lang w:val="en-GB"/>
        </w:rPr>
      </w:pPr>
      <w:r w:rsidRPr="007504E6">
        <w:rPr>
          <w:rFonts w:ascii="Times New Roman" w:hAnsi="Times New Roman" w:cs="Times New Roman"/>
          <w:lang w:val="en-GB"/>
        </w:rPr>
        <w:t>Architectural and engineering services, technical testing and analysis of production volume changes</w:t>
      </w:r>
      <w:r w:rsidR="00BB4EA2" w:rsidRPr="007504E6">
        <w:rPr>
          <w:rFonts w:ascii="Times New Roman" w:hAnsi="Times New Roman" w:cs="Times New Roman"/>
          <w:lang w:val="en-GB"/>
        </w:rPr>
        <w:t>.</w:t>
      </w:r>
    </w:p>
    <w:p w14:paraId="72492858" w14:textId="77777777" w:rsidR="00BB4EA2" w:rsidRPr="007504E6" w:rsidRDefault="00BB4EA2" w:rsidP="00B9247E">
      <w:pPr>
        <w:spacing w:line="276" w:lineRule="auto"/>
        <w:rPr>
          <w:rFonts w:ascii="Times New Roman" w:hAnsi="Times New Roman" w:cs="Times New Roman"/>
          <w:lang w:val="en-GB"/>
        </w:rPr>
      </w:pPr>
    </w:p>
    <w:p w14:paraId="50EE329E" w14:textId="77777777" w:rsidR="002B1675" w:rsidRPr="007504E6" w:rsidRDefault="002B1675" w:rsidP="002B1675">
      <w:pPr>
        <w:spacing w:line="276" w:lineRule="auto"/>
        <w:ind w:firstLine="0"/>
        <w:rPr>
          <w:rFonts w:ascii="Times New Roman" w:hAnsi="Times New Roman" w:cs="Times New Roman"/>
          <w:lang w:val="en-GB"/>
        </w:rPr>
      </w:pPr>
      <w:r w:rsidRPr="007504E6">
        <w:rPr>
          <w:rFonts w:ascii="Times New Roman" w:hAnsi="Times New Roman" w:cs="Times New Roman"/>
          <w:lang w:val="en-GB"/>
        </w:rPr>
        <w:t xml:space="preserve">From the point of view of the growth of construction output, the highest growth is expected in the sub-sectors related to the construction of transport facilities. In this case, experts predict a significant increase in the construction of railways, roads and highways, as well as bridges and tunnels. Growth forecasts are related both to the planned public procurement support in construction and to the entry of the Rail </w:t>
      </w:r>
      <w:proofErr w:type="spellStart"/>
      <w:r w:rsidRPr="007504E6">
        <w:rPr>
          <w:rFonts w:ascii="Times New Roman" w:hAnsi="Times New Roman" w:cs="Times New Roman"/>
          <w:lang w:val="en-GB"/>
        </w:rPr>
        <w:t>Baltica</w:t>
      </w:r>
      <w:proofErr w:type="spellEnd"/>
      <w:r w:rsidRPr="007504E6">
        <w:rPr>
          <w:rFonts w:ascii="Times New Roman" w:hAnsi="Times New Roman" w:cs="Times New Roman"/>
          <w:lang w:val="en-GB"/>
        </w:rPr>
        <w:t xml:space="preserve"> project into the construction phase. Experts also see a significant increase in the sub-sector of architectural and engineering services, technical testing and analysis. In turn, the lowest growth is expected in the non-residential building construction sub-sector.</w:t>
      </w:r>
    </w:p>
    <w:p w14:paraId="5D18A64C" w14:textId="77777777" w:rsidR="002B1675" w:rsidRPr="007504E6" w:rsidRDefault="002B1675" w:rsidP="002B1675">
      <w:pPr>
        <w:spacing w:line="276" w:lineRule="auto"/>
        <w:ind w:firstLine="0"/>
        <w:rPr>
          <w:rFonts w:ascii="Times New Roman" w:hAnsi="Times New Roman" w:cs="Times New Roman"/>
          <w:lang w:val="en-GB"/>
        </w:rPr>
      </w:pPr>
      <w:r w:rsidRPr="007504E6">
        <w:rPr>
          <w:rFonts w:ascii="Times New Roman" w:hAnsi="Times New Roman" w:cs="Times New Roman"/>
          <w:lang w:val="en-GB"/>
        </w:rPr>
        <w:t xml:space="preserve"> </w:t>
      </w:r>
    </w:p>
    <w:p w14:paraId="15B095B7" w14:textId="77777777" w:rsidR="002B1675" w:rsidRPr="007504E6" w:rsidRDefault="002B1675" w:rsidP="002B1675">
      <w:pPr>
        <w:spacing w:line="276" w:lineRule="auto"/>
        <w:ind w:firstLine="0"/>
        <w:rPr>
          <w:rFonts w:ascii="Times New Roman" w:hAnsi="Times New Roman" w:cs="Times New Roman"/>
          <w:lang w:val="en-GB"/>
        </w:rPr>
      </w:pPr>
      <w:r w:rsidRPr="007504E6">
        <w:rPr>
          <w:rFonts w:ascii="Times New Roman" w:hAnsi="Times New Roman" w:cs="Times New Roman"/>
          <w:lang w:val="en-GB"/>
        </w:rPr>
        <w:t>In the building construction sub-sector, a moderate amount of construction output is forecast in 2021 and 2022, however, estimating 2023-2025. Faster building construction volumes are expected for the period 2007-2013. In general, according to experts, the residential building segment is expected to grow faster than the non-residential segment.</w:t>
      </w:r>
    </w:p>
    <w:p w14:paraId="326C5ABC" w14:textId="77777777" w:rsidR="002B1675" w:rsidRPr="007504E6" w:rsidRDefault="002B1675" w:rsidP="002B1675">
      <w:pPr>
        <w:spacing w:line="276" w:lineRule="auto"/>
        <w:ind w:firstLine="0"/>
        <w:rPr>
          <w:rFonts w:ascii="Times New Roman" w:hAnsi="Times New Roman" w:cs="Times New Roman"/>
          <w:lang w:val="en-GB"/>
        </w:rPr>
      </w:pPr>
    </w:p>
    <w:p w14:paraId="6E6F11C2" w14:textId="583C0D49" w:rsidR="002B247E" w:rsidRPr="007504E6" w:rsidRDefault="002B1675" w:rsidP="002B1675">
      <w:pPr>
        <w:spacing w:line="276" w:lineRule="auto"/>
        <w:ind w:firstLine="0"/>
        <w:rPr>
          <w:rFonts w:ascii="Times New Roman" w:hAnsi="Times New Roman" w:cs="Times New Roman"/>
          <w:lang w:val="en-GB"/>
        </w:rPr>
      </w:pPr>
      <w:r w:rsidRPr="007504E6">
        <w:rPr>
          <w:rFonts w:ascii="Times New Roman" w:hAnsi="Times New Roman" w:cs="Times New Roman"/>
          <w:lang w:val="en-GB"/>
        </w:rPr>
        <w:t>The development of the transport sector is related to the implementation of significant municipal, state and European Union projects. In 2021, according to both expert forecasts and combined forecasts, an increase is expected in all sub-sectors of construction of transport facilities. However, in 2022 in some sub-sectors a decline is expected - in the construction of roads and highways and in the construction of bridges and tunnels. This is explained by fluctuations in the Structural Funds and, consequently, the impact of expert opinion. In the period from 2023-2025. Road and motorway construction trends are estimated to be a period of moderate growth with a slight increase in market volume. At the same time, the construction of railways, bridges and tunnels is experiencing a rapid leap, which is related to the significant construction works of the Rail Baltic project. Given that this sub-sector is highly cyclical, these large jumps may be followed by equally significant declines in the long run. Also in the last decade, the railway sub-sector has observed alternating years of rapid increases and decreases</w:t>
      </w:r>
      <w:r w:rsidR="00E00601" w:rsidRPr="007504E6">
        <w:rPr>
          <w:rFonts w:ascii="Times New Roman" w:hAnsi="Times New Roman" w:cs="Times New Roman"/>
          <w:lang w:val="en-GB"/>
        </w:rPr>
        <w:t xml:space="preserve">. </w:t>
      </w:r>
    </w:p>
    <w:p w14:paraId="12D67D98" w14:textId="77777777" w:rsidR="00791BF7" w:rsidRPr="007504E6" w:rsidRDefault="00791BF7" w:rsidP="002B1675">
      <w:pPr>
        <w:spacing w:line="276" w:lineRule="auto"/>
        <w:ind w:firstLine="0"/>
        <w:rPr>
          <w:rFonts w:ascii="Times New Roman" w:hAnsi="Times New Roman" w:cs="Times New Roman"/>
          <w:lang w:val="en-GB"/>
        </w:rPr>
      </w:pPr>
    </w:p>
    <w:p w14:paraId="765F2C3A" w14:textId="5E1B91DA" w:rsidR="005F622A" w:rsidRPr="007504E6" w:rsidRDefault="002B1675" w:rsidP="005F622A">
      <w:pPr>
        <w:pStyle w:val="Parakstszemobjekta"/>
        <w:spacing w:after="0"/>
        <w:jc w:val="right"/>
        <w:rPr>
          <w:rFonts w:ascii="Times New Roman" w:hAnsi="Times New Roman" w:cs="Times New Roman"/>
          <w:lang w:val="en-GB"/>
        </w:rPr>
      </w:pPr>
      <w:r w:rsidRPr="007504E6">
        <w:rPr>
          <w:lang w:val="en-GB"/>
        </w:rPr>
        <w:t>Table</w:t>
      </w:r>
      <w:r w:rsidR="001B0C98" w:rsidRPr="007504E6">
        <w:rPr>
          <w:lang w:val="en-GB"/>
        </w:rPr>
        <w:t xml:space="preserve">  </w:t>
      </w:r>
      <w:r w:rsidR="00D64210" w:rsidRPr="007504E6">
        <w:rPr>
          <w:lang w:val="en-GB"/>
        </w:rPr>
        <w:fldChar w:fldCharType="begin"/>
      </w:r>
      <w:r w:rsidR="00D64210" w:rsidRPr="007504E6">
        <w:rPr>
          <w:lang w:val="en-GB"/>
        </w:rPr>
        <w:instrText xml:space="preserve"> SEQ Tab._ \* ARABIC </w:instrText>
      </w:r>
      <w:r w:rsidR="00D64210" w:rsidRPr="007504E6">
        <w:rPr>
          <w:lang w:val="en-GB"/>
        </w:rPr>
        <w:fldChar w:fldCharType="separate"/>
      </w:r>
      <w:r w:rsidR="00D500F7">
        <w:rPr>
          <w:noProof/>
          <w:lang w:val="en-GB"/>
        </w:rPr>
        <w:t>10</w:t>
      </w:r>
      <w:r w:rsidR="00D64210" w:rsidRPr="007504E6">
        <w:rPr>
          <w:noProof/>
          <w:lang w:val="en-GB"/>
        </w:rPr>
        <w:fldChar w:fldCharType="end"/>
      </w:r>
      <w:r w:rsidR="001B0C98" w:rsidRPr="007504E6">
        <w:rPr>
          <w:lang w:val="en-GB"/>
        </w:rPr>
        <w:t>.</w:t>
      </w:r>
      <w:r w:rsidR="00821D75" w:rsidRPr="007504E6">
        <w:rPr>
          <w:rFonts w:ascii="Times New Roman" w:hAnsi="Times New Roman" w:cs="Times New Roman"/>
          <w:lang w:val="en-GB"/>
        </w:rPr>
        <w:t xml:space="preserve"> </w:t>
      </w:r>
    </w:p>
    <w:p w14:paraId="1F0F77A1" w14:textId="4380F65E" w:rsidR="00821D75" w:rsidRPr="007504E6" w:rsidRDefault="002B1675" w:rsidP="005F622A">
      <w:pPr>
        <w:pStyle w:val="Parakstszemobjekta"/>
        <w:spacing w:after="0"/>
        <w:jc w:val="right"/>
        <w:rPr>
          <w:rFonts w:ascii="Times New Roman" w:hAnsi="Times New Roman" w:cs="Times New Roman"/>
          <w:lang w:val="en-GB"/>
        </w:rPr>
      </w:pPr>
      <w:r w:rsidRPr="007504E6">
        <w:rPr>
          <w:rFonts w:ascii="Times New Roman" w:hAnsi="Times New Roman" w:cs="Times New Roman"/>
          <w:lang w:val="en-GB"/>
        </w:rPr>
        <w:t>Forecasts of changes in the volume of construction output as a percentage of the previous year according to the average assessment of sub-sector experts in 2021-2025</w:t>
      </w:r>
      <w:r w:rsidR="00DC1E84" w:rsidRPr="007504E6">
        <w:rPr>
          <w:rFonts w:ascii="Times New Roman" w:hAnsi="Times New Roman" w:cs="Times New Roman"/>
          <w:lang w:val="en-GB"/>
        </w:rPr>
        <w:t>.</w:t>
      </w:r>
    </w:p>
    <w:tbl>
      <w:tblPr>
        <w:tblStyle w:val="ListTable4-Accent31"/>
        <w:tblW w:w="9067" w:type="dxa"/>
        <w:tblLayout w:type="fixed"/>
        <w:tblLook w:val="0620" w:firstRow="1" w:lastRow="0" w:firstColumn="0" w:lastColumn="0" w:noHBand="1" w:noVBand="1"/>
      </w:tblPr>
      <w:tblGrid>
        <w:gridCol w:w="4815"/>
        <w:gridCol w:w="850"/>
        <w:gridCol w:w="709"/>
        <w:gridCol w:w="851"/>
        <w:gridCol w:w="708"/>
        <w:gridCol w:w="1134"/>
      </w:tblGrid>
      <w:tr w:rsidR="009B1762" w:rsidRPr="007504E6" w14:paraId="4A70FD2F" w14:textId="77777777" w:rsidTr="005F622A">
        <w:trPr>
          <w:cnfStyle w:val="100000000000" w:firstRow="1" w:lastRow="0" w:firstColumn="0" w:lastColumn="0" w:oddVBand="0" w:evenVBand="0" w:oddHBand="0" w:evenHBand="0" w:firstRowFirstColumn="0" w:firstRowLastColumn="0" w:lastRowFirstColumn="0" w:lastRowLastColumn="0"/>
          <w:trHeight w:val="288"/>
        </w:trPr>
        <w:tc>
          <w:tcPr>
            <w:tcW w:w="4815" w:type="dxa"/>
            <w:noWrap/>
            <w:hideMark/>
          </w:tcPr>
          <w:p w14:paraId="3BFE6987" w14:textId="77777777" w:rsidR="009B1762" w:rsidRPr="007504E6" w:rsidRDefault="009B1762" w:rsidP="00B9247E">
            <w:pPr>
              <w:spacing w:line="276" w:lineRule="auto"/>
              <w:ind w:firstLine="0"/>
              <w:jc w:val="left"/>
              <w:rPr>
                <w:rFonts w:ascii="Times New Roman" w:eastAsia="Times New Roman" w:hAnsi="Times New Roman" w:cs="Times New Roman"/>
                <w:color w:val="000000"/>
                <w:lang w:val="en-GB" w:eastAsia="lv-LV"/>
              </w:rPr>
            </w:pPr>
            <w:bookmarkStart w:id="13" w:name="_Hlk77190300"/>
            <w:r w:rsidRPr="007504E6">
              <w:rPr>
                <w:rFonts w:ascii="Times New Roman" w:eastAsia="Times New Roman" w:hAnsi="Times New Roman" w:cs="Times New Roman"/>
                <w:color w:val="000000"/>
                <w:lang w:val="en-GB" w:eastAsia="lv-LV"/>
              </w:rPr>
              <w:t> </w:t>
            </w:r>
          </w:p>
        </w:tc>
        <w:tc>
          <w:tcPr>
            <w:tcW w:w="850" w:type="dxa"/>
            <w:noWrap/>
            <w:hideMark/>
          </w:tcPr>
          <w:p w14:paraId="2A234054" w14:textId="45785F39" w:rsidR="009B1762" w:rsidRPr="007504E6" w:rsidRDefault="009B1762" w:rsidP="00B9247E">
            <w:pPr>
              <w:spacing w:line="276" w:lineRule="auto"/>
              <w:ind w:firstLine="0"/>
              <w:jc w:val="left"/>
              <w:rPr>
                <w:rFonts w:ascii="Times New Roman" w:eastAsia="Times New Roman" w:hAnsi="Times New Roman" w:cs="Times New Roman"/>
                <w:color w:val="000000"/>
                <w:lang w:val="en-GB" w:eastAsia="lv-LV"/>
              </w:rPr>
            </w:pPr>
            <w:r w:rsidRPr="007504E6">
              <w:rPr>
                <w:rFonts w:ascii="Times New Roman" w:eastAsia="Times New Roman" w:hAnsi="Times New Roman" w:cs="Times New Roman"/>
                <w:color w:val="000000"/>
                <w:lang w:val="en-GB" w:eastAsia="lv-LV"/>
              </w:rPr>
              <w:t>2021</w:t>
            </w:r>
          </w:p>
        </w:tc>
        <w:tc>
          <w:tcPr>
            <w:tcW w:w="709" w:type="dxa"/>
            <w:noWrap/>
            <w:hideMark/>
          </w:tcPr>
          <w:p w14:paraId="256799A7" w14:textId="35E9D6D7" w:rsidR="009B1762" w:rsidRPr="007504E6" w:rsidRDefault="009B1762" w:rsidP="00B9247E">
            <w:pPr>
              <w:spacing w:line="276" w:lineRule="auto"/>
              <w:ind w:firstLine="0"/>
              <w:jc w:val="left"/>
              <w:rPr>
                <w:rFonts w:ascii="Times New Roman" w:eastAsia="Times New Roman" w:hAnsi="Times New Roman" w:cs="Times New Roman"/>
                <w:color w:val="000000"/>
                <w:lang w:val="en-GB" w:eastAsia="lv-LV"/>
              </w:rPr>
            </w:pPr>
            <w:r w:rsidRPr="007504E6">
              <w:rPr>
                <w:rFonts w:ascii="Times New Roman" w:eastAsia="Times New Roman" w:hAnsi="Times New Roman" w:cs="Times New Roman"/>
                <w:color w:val="000000"/>
                <w:lang w:val="en-GB" w:eastAsia="lv-LV"/>
              </w:rPr>
              <w:t>2022</w:t>
            </w:r>
          </w:p>
        </w:tc>
        <w:tc>
          <w:tcPr>
            <w:tcW w:w="851" w:type="dxa"/>
            <w:noWrap/>
            <w:hideMark/>
          </w:tcPr>
          <w:p w14:paraId="127E6BEB" w14:textId="66E3B45E" w:rsidR="009B1762" w:rsidRPr="007504E6" w:rsidRDefault="009B1762" w:rsidP="00B9247E">
            <w:pPr>
              <w:spacing w:line="276" w:lineRule="auto"/>
              <w:ind w:firstLine="0"/>
              <w:jc w:val="left"/>
              <w:rPr>
                <w:rFonts w:ascii="Times New Roman" w:eastAsia="Times New Roman" w:hAnsi="Times New Roman" w:cs="Times New Roman"/>
                <w:color w:val="000000"/>
                <w:lang w:val="en-GB" w:eastAsia="lv-LV"/>
              </w:rPr>
            </w:pPr>
            <w:r w:rsidRPr="007504E6">
              <w:rPr>
                <w:rFonts w:ascii="Times New Roman" w:eastAsia="Times New Roman" w:hAnsi="Times New Roman" w:cs="Times New Roman"/>
                <w:color w:val="000000"/>
                <w:lang w:val="en-GB" w:eastAsia="lv-LV"/>
              </w:rPr>
              <w:t>2023</w:t>
            </w:r>
          </w:p>
        </w:tc>
        <w:tc>
          <w:tcPr>
            <w:tcW w:w="708" w:type="dxa"/>
            <w:noWrap/>
            <w:hideMark/>
          </w:tcPr>
          <w:p w14:paraId="16FEDE74" w14:textId="488B782D" w:rsidR="009B1762" w:rsidRPr="007504E6" w:rsidRDefault="009B1762" w:rsidP="00B9247E">
            <w:pPr>
              <w:spacing w:line="276" w:lineRule="auto"/>
              <w:ind w:firstLine="0"/>
              <w:jc w:val="left"/>
              <w:rPr>
                <w:rFonts w:ascii="Times New Roman" w:eastAsia="Times New Roman" w:hAnsi="Times New Roman" w:cs="Times New Roman"/>
                <w:color w:val="000000"/>
                <w:lang w:val="en-GB" w:eastAsia="lv-LV"/>
              </w:rPr>
            </w:pPr>
            <w:r w:rsidRPr="007504E6">
              <w:rPr>
                <w:rFonts w:ascii="Times New Roman" w:eastAsia="Times New Roman" w:hAnsi="Times New Roman" w:cs="Times New Roman"/>
                <w:color w:val="000000"/>
                <w:lang w:val="en-GB" w:eastAsia="lv-LV"/>
              </w:rPr>
              <w:t>2024</w:t>
            </w:r>
          </w:p>
        </w:tc>
        <w:tc>
          <w:tcPr>
            <w:tcW w:w="1134" w:type="dxa"/>
            <w:noWrap/>
            <w:hideMark/>
          </w:tcPr>
          <w:p w14:paraId="4AA8D7F0" w14:textId="298E441F" w:rsidR="009B1762" w:rsidRPr="007504E6" w:rsidRDefault="009B1762" w:rsidP="00B9247E">
            <w:pPr>
              <w:spacing w:line="276" w:lineRule="auto"/>
              <w:ind w:firstLine="0"/>
              <w:jc w:val="left"/>
              <w:rPr>
                <w:rFonts w:ascii="Times New Roman" w:eastAsia="Times New Roman" w:hAnsi="Times New Roman" w:cs="Times New Roman"/>
                <w:color w:val="000000"/>
                <w:lang w:val="en-GB" w:eastAsia="lv-LV"/>
              </w:rPr>
            </w:pPr>
            <w:r w:rsidRPr="007504E6">
              <w:rPr>
                <w:rFonts w:ascii="Times New Roman" w:eastAsia="Times New Roman" w:hAnsi="Times New Roman" w:cs="Times New Roman"/>
                <w:color w:val="000000"/>
                <w:lang w:val="en-GB" w:eastAsia="lv-LV"/>
              </w:rPr>
              <w:t>2025</w:t>
            </w:r>
          </w:p>
        </w:tc>
      </w:tr>
      <w:tr w:rsidR="001B7A52" w:rsidRPr="007504E6" w14:paraId="185ADEDD" w14:textId="77777777" w:rsidTr="005F622A">
        <w:trPr>
          <w:trHeight w:val="288"/>
        </w:trPr>
        <w:tc>
          <w:tcPr>
            <w:tcW w:w="9067" w:type="dxa"/>
            <w:gridSpan w:val="6"/>
            <w:noWrap/>
          </w:tcPr>
          <w:p w14:paraId="415FEED9" w14:textId="6AC7DFC6" w:rsidR="001B7A52" w:rsidRPr="007504E6" w:rsidRDefault="004470CC" w:rsidP="00B9247E">
            <w:pPr>
              <w:spacing w:line="276" w:lineRule="auto"/>
              <w:ind w:firstLine="0"/>
              <w:jc w:val="center"/>
              <w:rPr>
                <w:rFonts w:ascii="Times New Roman" w:hAnsi="Times New Roman" w:cs="Times New Roman"/>
                <w:color w:val="000000"/>
                <w:lang w:val="en-GB"/>
              </w:rPr>
            </w:pPr>
            <w:r w:rsidRPr="007504E6">
              <w:rPr>
                <w:rFonts w:ascii="Times New Roman" w:hAnsi="Times New Roman" w:cs="Times New Roman"/>
                <w:b/>
                <w:bCs/>
                <w:color w:val="000000"/>
                <w:lang w:val="en-GB"/>
              </w:rPr>
              <w:t>Building construction forecasts</w:t>
            </w:r>
          </w:p>
        </w:tc>
      </w:tr>
      <w:tr w:rsidR="004470CC" w:rsidRPr="007504E6" w14:paraId="22D3F0FB" w14:textId="77777777" w:rsidTr="005F622A">
        <w:trPr>
          <w:trHeight w:val="288"/>
        </w:trPr>
        <w:tc>
          <w:tcPr>
            <w:tcW w:w="4815" w:type="dxa"/>
            <w:noWrap/>
            <w:hideMark/>
          </w:tcPr>
          <w:p w14:paraId="6BADDC99" w14:textId="1DB176FD" w:rsidR="004470CC" w:rsidRPr="007504E6" w:rsidRDefault="004470CC" w:rsidP="004470CC">
            <w:pPr>
              <w:spacing w:line="276" w:lineRule="auto"/>
              <w:ind w:firstLine="0"/>
              <w:jc w:val="left"/>
              <w:rPr>
                <w:rFonts w:ascii="Times New Roman" w:eastAsia="Times New Roman" w:hAnsi="Times New Roman" w:cs="Times New Roman"/>
                <w:color w:val="000000"/>
                <w:lang w:val="en-GB" w:eastAsia="lv-LV"/>
              </w:rPr>
            </w:pPr>
            <w:r w:rsidRPr="007504E6">
              <w:rPr>
                <w:szCs w:val="20"/>
                <w:lang w:val="en-GB"/>
              </w:rPr>
              <w:t>Expert forecast of changes in the volume of construction output of residential buildings</w:t>
            </w:r>
          </w:p>
        </w:tc>
        <w:tc>
          <w:tcPr>
            <w:tcW w:w="850" w:type="dxa"/>
            <w:noWrap/>
            <w:hideMark/>
          </w:tcPr>
          <w:p w14:paraId="07F4C256" w14:textId="453730E2" w:rsidR="004470CC" w:rsidRPr="007504E6" w:rsidRDefault="004470CC" w:rsidP="004470CC">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64</w:t>
            </w:r>
          </w:p>
        </w:tc>
        <w:tc>
          <w:tcPr>
            <w:tcW w:w="709" w:type="dxa"/>
            <w:noWrap/>
            <w:hideMark/>
          </w:tcPr>
          <w:p w14:paraId="53D00E52" w14:textId="4E663943" w:rsidR="004470CC" w:rsidRPr="007504E6" w:rsidRDefault="004470CC" w:rsidP="004470CC">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6.14</w:t>
            </w:r>
          </w:p>
        </w:tc>
        <w:tc>
          <w:tcPr>
            <w:tcW w:w="851" w:type="dxa"/>
            <w:noWrap/>
            <w:hideMark/>
          </w:tcPr>
          <w:p w14:paraId="6FC238A7" w14:textId="6446DA62" w:rsidR="004470CC" w:rsidRPr="007504E6" w:rsidRDefault="004470CC" w:rsidP="004470CC">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11.29</w:t>
            </w:r>
          </w:p>
        </w:tc>
        <w:tc>
          <w:tcPr>
            <w:tcW w:w="708" w:type="dxa"/>
            <w:noWrap/>
            <w:hideMark/>
          </w:tcPr>
          <w:p w14:paraId="090448D8" w14:textId="3D9CD1FA" w:rsidR="004470CC" w:rsidRPr="007504E6" w:rsidRDefault="004470CC" w:rsidP="004470CC">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12.57</w:t>
            </w:r>
          </w:p>
        </w:tc>
        <w:tc>
          <w:tcPr>
            <w:tcW w:w="1134" w:type="dxa"/>
            <w:noWrap/>
            <w:hideMark/>
          </w:tcPr>
          <w:p w14:paraId="046B48C9" w14:textId="0B583B72" w:rsidR="004470CC" w:rsidRPr="007504E6" w:rsidRDefault="004470CC" w:rsidP="004470CC">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11.86</w:t>
            </w:r>
          </w:p>
        </w:tc>
      </w:tr>
      <w:tr w:rsidR="004470CC" w:rsidRPr="007504E6" w14:paraId="795A2196" w14:textId="77777777" w:rsidTr="005F622A">
        <w:trPr>
          <w:trHeight w:val="288"/>
        </w:trPr>
        <w:tc>
          <w:tcPr>
            <w:tcW w:w="4815" w:type="dxa"/>
            <w:noWrap/>
            <w:hideMark/>
          </w:tcPr>
          <w:p w14:paraId="37D09C3C" w14:textId="5A83BC5E" w:rsidR="004470CC" w:rsidRPr="007504E6" w:rsidRDefault="004470CC" w:rsidP="004470CC">
            <w:pPr>
              <w:spacing w:line="276" w:lineRule="auto"/>
              <w:ind w:firstLine="0"/>
              <w:jc w:val="left"/>
              <w:rPr>
                <w:rFonts w:ascii="Times New Roman" w:eastAsia="Times New Roman" w:hAnsi="Times New Roman" w:cs="Times New Roman"/>
                <w:color w:val="000000"/>
                <w:lang w:val="en-GB" w:eastAsia="lv-LV"/>
              </w:rPr>
            </w:pPr>
            <w:r w:rsidRPr="007504E6">
              <w:rPr>
                <w:szCs w:val="20"/>
                <w:lang w:val="en-GB"/>
              </w:rPr>
              <w:t>Expert forecast of changes in the volume of construction output of non-residential buildings</w:t>
            </w:r>
          </w:p>
        </w:tc>
        <w:tc>
          <w:tcPr>
            <w:tcW w:w="850" w:type="dxa"/>
            <w:noWrap/>
            <w:hideMark/>
          </w:tcPr>
          <w:p w14:paraId="59067579" w14:textId="0B4E4379" w:rsidR="004470CC" w:rsidRPr="007504E6" w:rsidRDefault="004470CC" w:rsidP="004470CC">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3.29</w:t>
            </w:r>
          </w:p>
        </w:tc>
        <w:tc>
          <w:tcPr>
            <w:tcW w:w="709" w:type="dxa"/>
            <w:noWrap/>
            <w:hideMark/>
          </w:tcPr>
          <w:p w14:paraId="67D58E54" w14:textId="2E4E4AB2" w:rsidR="004470CC" w:rsidRPr="007504E6" w:rsidRDefault="004470CC" w:rsidP="004470CC">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4.57</w:t>
            </w:r>
          </w:p>
        </w:tc>
        <w:tc>
          <w:tcPr>
            <w:tcW w:w="851" w:type="dxa"/>
            <w:noWrap/>
            <w:hideMark/>
          </w:tcPr>
          <w:p w14:paraId="06C21186" w14:textId="3215AA15" w:rsidR="004470CC" w:rsidRPr="007504E6" w:rsidRDefault="004470CC" w:rsidP="004470CC">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7.86</w:t>
            </w:r>
          </w:p>
        </w:tc>
        <w:tc>
          <w:tcPr>
            <w:tcW w:w="708" w:type="dxa"/>
            <w:noWrap/>
            <w:hideMark/>
          </w:tcPr>
          <w:p w14:paraId="5E26EF76" w14:textId="768C52ED" w:rsidR="004470CC" w:rsidRPr="007504E6" w:rsidRDefault="004470CC" w:rsidP="004470CC">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9.71</w:t>
            </w:r>
          </w:p>
        </w:tc>
        <w:tc>
          <w:tcPr>
            <w:tcW w:w="1134" w:type="dxa"/>
            <w:noWrap/>
            <w:hideMark/>
          </w:tcPr>
          <w:p w14:paraId="16BD5B09" w14:textId="0B17C583" w:rsidR="004470CC" w:rsidRPr="007504E6" w:rsidRDefault="004470CC" w:rsidP="004470CC">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8.86</w:t>
            </w:r>
          </w:p>
        </w:tc>
      </w:tr>
      <w:tr w:rsidR="004470CC" w:rsidRPr="007504E6" w14:paraId="60717EF7" w14:textId="77777777" w:rsidTr="005F622A">
        <w:trPr>
          <w:trHeight w:val="288"/>
        </w:trPr>
        <w:tc>
          <w:tcPr>
            <w:tcW w:w="4815" w:type="dxa"/>
            <w:noWrap/>
            <w:hideMark/>
          </w:tcPr>
          <w:p w14:paraId="11C775F9" w14:textId="005E9087" w:rsidR="004470CC" w:rsidRPr="007504E6" w:rsidRDefault="004470CC" w:rsidP="004470CC">
            <w:pPr>
              <w:spacing w:line="276" w:lineRule="auto"/>
              <w:ind w:firstLine="0"/>
              <w:jc w:val="left"/>
              <w:rPr>
                <w:rFonts w:ascii="Times New Roman" w:eastAsia="Times New Roman" w:hAnsi="Times New Roman" w:cs="Times New Roman"/>
                <w:color w:val="000000"/>
                <w:lang w:val="en-GB" w:eastAsia="lv-LV"/>
              </w:rPr>
            </w:pPr>
            <w:r w:rsidRPr="007504E6">
              <w:rPr>
                <w:szCs w:val="20"/>
                <w:lang w:val="en-GB"/>
              </w:rPr>
              <w:t>Combined forecast of changes in the volume of building construction output</w:t>
            </w:r>
          </w:p>
        </w:tc>
        <w:tc>
          <w:tcPr>
            <w:tcW w:w="850" w:type="dxa"/>
            <w:noWrap/>
            <w:hideMark/>
          </w:tcPr>
          <w:p w14:paraId="2C059C50" w14:textId="66547AE5" w:rsidR="004470CC" w:rsidRPr="007504E6" w:rsidRDefault="004470CC" w:rsidP="004470CC">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5.94</w:t>
            </w:r>
          </w:p>
        </w:tc>
        <w:tc>
          <w:tcPr>
            <w:tcW w:w="709" w:type="dxa"/>
            <w:noWrap/>
            <w:hideMark/>
          </w:tcPr>
          <w:p w14:paraId="6E4A6E25" w14:textId="3A0675EA" w:rsidR="004470CC" w:rsidRPr="007504E6" w:rsidRDefault="004470CC" w:rsidP="004470CC">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5.96</w:t>
            </w:r>
          </w:p>
        </w:tc>
        <w:tc>
          <w:tcPr>
            <w:tcW w:w="851" w:type="dxa"/>
            <w:noWrap/>
            <w:hideMark/>
          </w:tcPr>
          <w:p w14:paraId="38706D6A" w14:textId="32EA41DD" w:rsidR="004470CC" w:rsidRPr="007504E6" w:rsidRDefault="004470CC" w:rsidP="004470CC">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7.91</w:t>
            </w:r>
          </w:p>
        </w:tc>
        <w:tc>
          <w:tcPr>
            <w:tcW w:w="708" w:type="dxa"/>
            <w:noWrap/>
            <w:hideMark/>
          </w:tcPr>
          <w:p w14:paraId="4C224B9B" w14:textId="378A694A" w:rsidR="004470CC" w:rsidRPr="007504E6" w:rsidRDefault="004470CC" w:rsidP="004470CC">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8.54</w:t>
            </w:r>
          </w:p>
        </w:tc>
        <w:tc>
          <w:tcPr>
            <w:tcW w:w="1134" w:type="dxa"/>
            <w:noWrap/>
            <w:hideMark/>
          </w:tcPr>
          <w:p w14:paraId="5ABB59D1" w14:textId="235B83FE" w:rsidR="004470CC" w:rsidRPr="007504E6" w:rsidRDefault="004470CC" w:rsidP="004470CC">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8.01</w:t>
            </w:r>
          </w:p>
        </w:tc>
      </w:tr>
      <w:tr w:rsidR="001B7A52" w:rsidRPr="007504E6" w14:paraId="152D04CB" w14:textId="77777777" w:rsidTr="005F622A">
        <w:trPr>
          <w:trHeight w:val="288"/>
        </w:trPr>
        <w:tc>
          <w:tcPr>
            <w:tcW w:w="9067" w:type="dxa"/>
            <w:gridSpan w:val="6"/>
            <w:noWrap/>
          </w:tcPr>
          <w:p w14:paraId="17A7A336" w14:textId="3101BC1A" w:rsidR="001B7A52" w:rsidRPr="007504E6" w:rsidRDefault="004470CC" w:rsidP="004470CC">
            <w:pPr>
              <w:ind w:firstLine="0"/>
              <w:jc w:val="center"/>
              <w:rPr>
                <w:rFonts w:ascii="Times New Roman" w:hAnsi="Times New Roman" w:cs="Times New Roman"/>
                <w:color w:val="000000"/>
                <w:lang w:val="en-GB"/>
              </w:rPr>
            </w:pPr>
            <w:r w:rsidRPr="007504E6">
              <w:rPr>
                <w:rFonts w:ascii="Times New Roman" w:hAnsi="Times New Roman" w:cs="Times New Roman"/>
                <w:b/>
                <w:bCs/>
                <w:color w:val="000000"/>
                <w:lang w:val="en-GB"/>
              </w:rPr>
              <w:t>Transport object construction forecasts</w:t>
            </w:r>
          </w:p>
        </w:tc>
      </w:tr>
      <w:tr w:rsidR="004455F2" w:rsidRPr="007504E6" w14:paraId="0D24DADA" w14:textId="77777777" w:rsidTr="005F622A">
        <w:trPr>
          <w:trHeight w:val="288"/>
        </w:trPr>
        <w:tc>
          <w:tcPr>
            <w:tcW w:w="4815" w:type="dxa"/>
            <w:noWrap/>
            <w:hideMark/>
          </w:tcPr>
          <w:p w14:paraId="7D20B3FA" w14:textId="3457F672" w:rsidR="004455F2" w:rsidRPr="007504E6" w:rsidRDefault="004455F2" w:rsidP="004455F2">
            <w:pPr>
              <w:spacing w:line="276" w:lineRule="auto"/>
              <w:ind w:firstLine="0"/>
              <w:jc w:val="left"/>
              <w:rPr>
                <w:rFonts w:ascii="Times New Roman" w:eastAsia="Times New Roman" w:hAnsi="Times New Roman" w:cs="Times New Roman"/>
                <w:color w:val="000000"/>
                <w:lang w:val="en-GB" w:eastAsia="lv-LV"/>
              </w:rPr>
            </w:pPr>
            <w:r w:rsidRPr="007504E6">
              <w:rPr>
                <w:szCs w:val="20"/>
                <w:lang w:val="en-GB"/>
              </w:rPr>
              <w:t>Expert forecast of changes in the volume of road and highway construction output</w:t>
            </w:r>
          </w:p>
        </w:tc>
        <w:tc>
          <w:tcPr>
            <w:tcW w:w="850" w:type="dxa"/>
            <w:noWrap/>
            <w:hideMark/>
          </w:tcPr>
          <w:p w14:paraId="6AA56D63" w14:textId="7AD68001" w:rsidR="004455F2" w:rsidRPr="007504E6" w:rsidRDefault="004455F2" w:rsidP="004455F2">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7.00</w:t>
            </w:r>
          </w:p>
        </w:tc>
        <w:tc>
          <w:tcPr>
            <w:tcW w:w="709" w:type="dxa"/>
            <w:noWrap/>
            <w:hideMark/>
          </w:tcPr>
          <w:p w14:paraId="67625AA2" w14:textId="321E92EC" w:rsidR="004455F2" w:rsidRPr="007504E6" w:rsidRDefault="004455F2" w:rsidP="004455F2">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-10.83</w:t>
            </w:r>
          </w:p>
        </w:tc>
        <w:tc>
          <w:tcPr>
            <w:tcW w:w="851" w:type="dxa"/>
            <w:noWrap/>
            <w:hideMark/>
          </w:tcPr>
          <w:p w14:paraId="433BF9BA" w14:textId="7D425A14" w:rsidR="004455F2" w:rsidRPr="007504E6" w:rsidRDefault="004455F2" w:rsidP="004455F2">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3.20</w:t>
            </w:r>
          </w:p>
        </w:tc>
        <w:tc>
          <w:tcPr>
            <w:tcW w:w="708" w:type="dxa"/>
            <w:noWrap/>
            <w:hideMark/>
          </w:tcPr>
          <w:p w14:paraId="6EE83E97" w14:textId="4D27A556" w:rsidR="004455F2" w:rsidRPr="007504E6" w:rsidRDefault="004455F2" w:rsidP="004455F2">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3.20</w:t>
            </w:r>
          </w:p>
        </w:tc>
        <w:tc>
          <w:tcPr>
            <w:tcW w:w="1134" w:type="dxa"/>
            <w:noWrap/>
            <w:hideMark/>
          </w:tcPr>
          <w:p w14:paraId="5EB627E1" w14:textId="388337A6" w:rsidR="004455F2" w:rsidRPr="007504E6" w:rsidRDefault="004455F2" w:rsidP="004455F2">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2.20</w:t>
            </w:r>
          </w:p>
        </w:tc>
      </w:tr>
      <w:tr w:rsidR="004455F2" w:rsidRPr="007504E6" w14:paraId="36E2367B" w14:textId="77777777" w:rsidTr="005F622A">
        <w:trPr>
          <w:trHeight w:val="288"/>
        </w:trPr>
        <w:tc>
          <w:tcPr>
            <w:tcW w:w="4815" w:type="dxa"/>
            <w:noWrap/>
            <w:hideMark/>
          </w:tcPr>
          <w:p w14:paraId="59EC9730" w14:textId="569CF9CA" w:rsidR="004455F2" w:rsidRPr="007504E6" w:rsidRDefault="004455F2" w:rsidP="004455F2">
            <w:pPr>
              <w:spacing w:line="276" w:lineRule="auto"/>
              <w:ind w:firstLine="0"/>
              <w:jc w:val="left"/>
              <w:rPr>
                <w:rFonts w:ascii="Times New Roman" w:eastAsia="Times New Roman" w:hAnsi="Times New Roman" w:cs="Times New Roman"/>
                <w:color w:val="000000"/>
                <w:lang w:val="en-GB" w:eastAsia="lv-LV"/>
              </w:rPr>
            </w:pPr>
            <w:r w:rsidRPr="007504E6">
              <w:rPr>
                <w:szCs w:val="20"/>
                <w:lang w:val="en-GB"/>
              </w:rPr>
              <w:t>Combined forecast of changes in the volume of road and highway construction output</w:t>
            </w:r>
          </w:p>
        </w:tc>
        <w:tc>
          <w:tcPr>
            <w:tcW w:w="850" w:type="dxa"/>
            <w:noWrap/>
            <w:hideMark/>
          </w:tcPr>
          <w:p w14:paraId="6470FCE7" w14:textId="0C4BA1EF" w:rsidR="004455F2" w:rsidRPr="007504E6" w:rsidRDefault="004455F2" w:rsidP="004455F2">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4.66</w:t>
            </w:r>
          </w:p>
        </w:tc>
        <w:tc>
          <w:tcPr>
            <w:tcW w:w="709" w:type="dxa"/>
            <w:noWrap/>
            <w:hideMark/>
          </w:tcPr>
          <w:p w14:paraId="5DA31C68" w14:textId="4D26E648" w:rsidR="004455F2" w:rsidRPr="007504E6" w:rsidRDefault="004455F2" w:rsidP="004455F2">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-4.64</w:t>
            </w:r>
          </w:p>
        </w:tc>
        <w:tc>
          <w:tcPr>
            <w:tcW w:w="851" w:type="dxa"/>
            <w:noWrap/>
            <w:hideMark/>
          </w:tcPr>
          <w:p w14:paraId="5585B099" w14:textId="58CCE6E5" w:rsidR="004455F2" w:rsidRPr="007504E6" w:rsidRDefault="004455F2" w:rsidP="004455F2">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2.02</w:t>
            </w:r>
          </w:p>
        </w:tc>
        <w:tc>
          <w:tcPr>
            <w:tcW w:w="708" w:type="dxa"/>
            <w:noWrap/>
            <w:hideMark/>
          </w:tcPr>
          <w:p w14:paraId="04D4D03A" w14:textId="17B0D202" w:rsidR="004455F2" w:rsidRPr="007504E6" w:rsidRDefault="004455F2" w:rsidP="004455F2">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1.70</w:t>
            </w:r>
          </w:p>
        </w:tc>
        <w:tc>
          <w:tcPr>
            <w:tcW w:w="1134" w:type="dxa"/>
            <w:noWrap/>
            <w:hideMark/>
          </w:tcPr>
          <w:p w14:paraId="7344F119" w14:textId="3058F6CE" w:rsidR="004455F2" w:rsidRPr="007504E6" w:rsidRDefault="004455F2" w:rsidP="004455F2">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0.90</w:t>
            </w:r>
          </w:p>
        </w:tc>
      </w:tr>
      <w:tr w:rsidR="004455F2" w:rsidRPr="007504E6" w14:paraId="3605B60D" w14:textId="77777777" w:rsidTr="005F622A">
        <w:trPr>
          <w:trHeight w:val="288"/>
        </w:trPr>
        <w:tc>
          <w:tcPr>
            <w:tcW w:w="4815" w:type="dxa"/>
            <w:noWrap/>
            <w:hideMark/>
          </w:tcPr>
          <w:p w14:paraId="1F50E3D4" w14:textId="2234DA86" w:rsidR="004455F2" w:rsidRPr="007504E6" w:rsidRDefault="004455F2" w:rsidP="004455F2">
            <w:pPr>
              <w:spacing w:line="276" w:lineRule="auto"/>
              <w:ind w:firstLine="0"/>
              <w:jc w:val="left"/>
              <w:rPr>
                <w:rFonts w:ascii="Times New Roman" w:eastAsia="Times New Roman" w:hAnsi="Times New Roman" w:cs="Times New Roman"/>
                <w:color w:val="000000"/>
                <w:lang w:val="en-GB" w:eastAsia="lv-LV"/>
              </w:rPr>
            </w:pPr>
            <w:r w:rsidRPr="007504E6">
              <w:rPr>
                <w:szCs w:val="20"/>
                <w:lang w:val="en-GB"/>
              </w:rPr>
              <w:t>Expert forecast of changes in the volume of railway and metro construction output</w:t>
            </w:r>
          </w:p>
        </w:tc>
        <w:tc>
          <w:tcPr>
            <w:tcW w:w="850" w:type="dxa"/>
            <w:noWrap/>
            <w:hideMark/>
          </w:tcPr>
          <w:p w14:paraId="7D40F901" w14:textId="5F5825F0" w:rsidR="004455F2" w:rsidRPr="007504E6" w:rsidRDefault="004455F2" w:rsidP="004455F2">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7.50</w:t>
            </w:r>
          </w:p>
        </w:tc>
        <w:tc>
          <w:tcPr>
            <w:tcW w:w="709" w:type="dxa"/>
            <w:noWrap/>
            <w:hideMark/>
          </w:tcPr>
          <w:p w14:paraId="409D9605" w14:textId="44EE5CDF" w:rsidR="004455F2" w:rsidRPr="007504E6" w:rsidRDefault="004455F2" w:rsidP="004455F2">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23.75</w:t>
            </w:r>
          </w:p>
        </w:tc>
        <w:tc>
          <w:tcPr>
            <w:tcW w:w="851" w:type="dxa"/>
            <w:noWrap/>
            <w:hideMark/>
          </w:tcPr>
          <w:p w14:paraId="789124FD" w14:textId="1551B671" w:rsidR="004455F2" w:rsidRPr="007504E6" w:rsidRDefault="004455F2" w:rsidP="004455F2">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30.67</w:t>
            </w:r>
          </w:p>
        </w:tc>
        <w:tc>
          <w:tcPr>
            <w:tcW w:w="708" w:type="dxa"/>
            <w:noWrap/>
            <w:hideMark/>
          </w:tcPr>
          <w:p w14:paraId="734502AE" w14:textId="351AD0DB" w:rsidR="004455F2" w:rsidRPr="007504E6" w:rsidRDefault="004455F2" w:rsidP="004455F2">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40.67</w:t>
            </w:r>
          </w:p>
        </w:tc>
        <w:tc>
          <w:tcPr>
            <w:tcW w:w="1134" w:type="dxa"/>
            <w:noWrap/>
            <w:hideMark/>
          </w:tcPr>
          <w:p w14:paraId="3984C852" w14:textId="6C6B2F7D" w:rsidR="004455F2" w:rsidRPr="007504E6" w:rsidRDefault="004455F2" w:rsidP="004455F2">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50.33</w:t>
            </w:r>
          </w:p>
        </w:tc>
      </w:tr>
      <w:tr w:rsidR="004455F2" w:rsidRPr="007504E6" w14:paraId="3A23C693" w14:textId="77777777" w:rsidTr="005F622A">
        <w:trPr>
          <w:trHeight w:val="288"/>
        </w:trPr>
        <w:tc>
          <w:tcPr>
            <w:tcW w:w="4815" w:type="dxa"/>
            <w:noWrap/>
            <w:hideMark/>
          </w:tcPr>
          <w:p w14:paraId="1425D669" w14:textId="7A939975" w:rsidR="004455F2" w:rsidRPr="007504E6" w:rsidRDefault="004455F2" w:rsidP="004455F2">
            <w:pPr>
              <w:spacing w:line="276" w:lineRule="auto"/>
              <w:ind w:firstLine="0"/>
              <w:jc w:val="left"/>
              <w:rPr>
                <w:rFonts w:ascii="Times New Roman" w:eastAsia="Times New Roman" w:hAnsi="Times New Roman" w:cs="Times New Roman"/>
                <w:color w:val="000000"/>
                <w:lang w:val="en-GB" w:eastAsia="lv-LV"/>
              </w:rPr>
            </w:pPr>
            <w:r w:rsidRPr="007504E6">
              <w:rPr>
                <w:szCs w:val="20"/>
                <w:lang w:val="en-GB"/>
              </w:rPr>
              <w:t>Expert forecast of changes in the volume of bridge and tunnel construction output</w:t>
            </w:r>
          </w:p>
        </w:tc>
        <w:tc>
          <w:tcPr>
            <w:tcW w:w="850" w:type="dxa"/>
            <w:noWrap/>
            <w:hideMark/>
          </w:tcPr>
          <w:p w14:paraId="0A9F2AC7" w14:textId="5816F3A5" w:rsidR="004455F2" w:rsidRPr="007504E6" w:rsidRDefault="004455F2" w:rsidP="004455F2">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7.00</w:t>
            </w:r>
          </w:p>
        </w:tc>
        <w:tc>
          <w:tcPr>
            <w:tcW w:w="709" w:type="dxa"/>
            <w:noWrap/>
            <w:hideMark/>
          </w:tcPr>
          <w:p w14:paraId="1738C35A" w14:textId="73B02098" w:rsidR="004455F2" w:rsidRPr="007504E6" w:rsidRDefault="004455F2" w:rsidP="004455F2">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1.00</w:t>
            </w:r>
          </w:p>
        </w:tc>
        <w:tc>
          <w:tcPr>
            <w:tcW w:w="851" w:type="dxa"/>
            <w:noWrap/>
            <w:hideMark/>
          </w:tcPr>
          <w:p w14:paraId="77AB09DE" w14:textId="00E06AD2" w:rsidR="004455F2" w:rsidRPr="007504E6" w:rsidRDefault="004455F2" w:rsidP="004455F2">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26.75</w:t>
            </w:r>
          </w:p>
        </w:tc>
        <w:tc>
          <w:tcPr>
            <w:tcW w:w="708" w:type="dxa"/>
            <w:noWrap/>
            <w:hideMark/>
          </w:tcPr>
          <w:p w14:paraId="77A66FFF" w14:textId="7B1BC03F" w:rsidR="004455F2" w:rsidRPr="007504E6" w:rsidRDefault="004455F2" w:rsidP="004455F2">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40.50</w:t>
            </w:r>
          </w:p>
        </w:tc>
        <w:tc>
          <w:tcPr>
            <w:tcW w:w="1134" w:type="dxa"/>
            <w:noWrap/>
            <w:hideMark/>
          </w:tcPr>
          <w:p w14:paraId="47238EA2" w14:textId="2BC959A4" w:rsidR="004455F2" w:rsidRPr="007504E6" w:rsidRDefault="004455F2" w:rsidP="004455F2">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49.25</w:t>
            </w:r>
          </w:p>
        </w:tc>
      </w:tr>
      <w:tr w:rsidR="004455F2" w:rsidRPr="007504E6" w14:paraId="6D0066A9" w14:textId="77777777" w:rsidTr="005F622A">
        <w:trPr>
          <w:trHeight w:val="288"/>
        </w:trPr>
        <w:tc>
          <w:tcPr>
            <w:tcW w:w="4815" w:type="dxa"/>
            <w:noWrap/>
            <w:hideMark/>
          </w:tcPr>
          <w:p w14:paraId="6680A618" w14:textId="77777777" w:rsidR="004455F2" w:rsidRPr="007504E6" w:rsidRDefault="004455F2" w:rsidP="004455F2">
            <w:pPr>
              <w:pStyle w:val="Paraststmeklis"/>
              <w:spacing w:before="0" w:beforeAutospacing="0" w:after="0" w:afterAutospacing="0" w:line="230" w:lineRule="atLeast"/>
              <w:rPr>
                <w:sz w:val="20"/>
                <w:szCs w:val="20"/>
                <w:lang w:val="en-GB"/>
              </w:rPr>
            </w:pPr>
            <w:r w:rsidRPr="007504E6">
              <w:rPr>
                <w:sz w:val="20"/>
                <w:szCs w:val="20"/>
                <w:lang w:val="en-GB"/>
              </w:rPr>
              <w:t>Combined forecast of changes in the volume of bridge and tunnel construction output</w:t>
            </w:r>
          </w:p>
          <w:p w14:paraId="0985DA8F" w14:textId="7070C56D" w:rsidR="004455F2" w:rsidRPr="007504E6" w:rsidRDefault="004455F2" w:rsidP="004455F2">
            <w:pPr>
              <w:spacing w:line="276" w:lineRule="auto"/>
              <w:ind w:firstLine="0"/>
              <w:jc w:val="left"/>
              <w:rPr>
                <w:rFonts w:ascii="Times New Roman" w:eastAsia="Times New Roman" w:hAnsi="Times New Roman" w:cs="Times New Roman"/>
                <w:color w:val="000000"/>
                <w:lang w:val="en-GB" w:eastAsia="lv-LV"/>
              </w:rPr>
            </w:pPr>
            <w:r w:rsidRPr="007504E6">
              <w:rPr>
                <w:szCs w:val="20"/>
                <w:lang w:val="en-GB"/>
              </w:rPr>
              <w:t> </w:t>
            </w:r>
          </w:p>
        </w:tc>
        <w:tc>
          <w:tcPr>
            <w:tcW w:w="850" w:type="dxa"/>
            <w:noWrap/>
            <w:hideMark/>
          </w:tcPr>
          <w:p w14:paraId="6F1E5BAA" w14:textId="5217331E" w:rsidR="004455F2" w:rsidRPr="007504E6" w:rsidRDefault="004455F2" w:rsidP="004455F2">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2.35</w:t>
            </w:r>
          </w:p>
        </w:tc>
        <w:tc>
          <w:tcPr>
            <w:tcW w:w="709" w:type="dxa"/>
            <w:noWrap/>
            <w:hideMark/>
          </w:tcPr>
          <w:p w14:paraId="7AAF800A" w14:textId="28582552" w:rsidR="004455F2" w:rsidRPr="007504E6" w:rsidRDefault="004455F2" w:rsidP="004455F2">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-0.25</w:t>
            </w:r>
          </w:p>
        </w:tc>
        <w:tc>
          <w:tcPr>
            <w:tcW w:w="851" w:type="dxa"/>
            <w:noWrap/>
            <w:hideMark/>
          </w:tcPr>
          <w:p w14:paraId="39D0066E" w14:textId="087AA79F" w:rsidR="004455F2" w:rsidRPr="007504E6" w:rsidRDefault="004455F2" w:rsidP="004455F2">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12.99</w:t>
            </w:r>
          </w:p>
        </w:tc>
        <w:tc>
          <w:tcPr>
            <w:tcW w:w="708" w:type="dxa"/>
            <w:noWrap/>
            <w:hideMark/>
          </w:tcPr>
          <w:p w14:paraId="7C937B1B" w14:textId="34CE9F5F" w:rsidR="004455F2" w:rsidRPr="007504E6" w:rsidRDefault="004455F2" w:rsidP="004455F2">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20.20</w:t>
            </w:r>
          </w:p>
        </w:tc>
        <w:tc>
          <w:tcPr>
            <w:tcW w:w="1134" w:type="dxa"/>
            <w:noWrap/>
            <w:hideMark/>
          </w:tcPr>
          <w:p w14:paraId="40E6B026" w14:textId="1BF881B0" w:rsidR="004455F2" w:rsidRPr="007504E6" w:rsidRDefault="004455F2" w:rsidP="004455F2">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24.89</w:t>
            </w:r>
          </w:p>
        </w:tc>
      </w:tr>
      <w:tr w:rsidR="001B7A52" w:rsidRPr="007504E6" w14:paraId="3F1C52A9" w14:textId="77777777" w:rsidTr="005F622A">
        <w:trPr>
          <w:trHeight w:val="288"/>
        </w:trPr>
        <w:tc>
          <w:tcPr>
            <w:tcW w:w="9067" w:type="dxa"/>
            <w:gridSpan w:val="6"/>
            <w:noWrap/>
          </w:tcPr>
          <w:p w14:paraId="387A18F5" w14:textId="14FF01C7" w:rsidR="001B7A52" w:rsidRPr="007504E6" w:rsidRDefault="004455F2" w:rsidP="00B9247E">
            <w:pPr>
              <w:spacing w:line="276" w:lineRule="auto"/>
              <w:ind w:firstLine="0"/>
              <w:jc w:val="center"/>
              <w:rPr>
                <w:rFonts w:ascii="Times New Roman" w:hAnsi="Times New Roman" w:cs="Times New Roman"/>
                <w:color w:val="000000"/>
                <w:lang w:val="en-GB"/>
              </w:rPr>
            </w:pPr>
            <w:r w:rsidRPr="007504E6">
              <w:rPr>
                <w:rFonts w:ascii="Times New Roman" w:hAnsi="Times New Roman" w:cs="Times New Roman"/>
                <w:b/>
                <w:bCs/>
                <w:color w:val="000000"/>
                <w:lang w:val="en-GB"/>
              </w:rPr>
              <w:t>Forecasts of construction of urban infrastructure objects</w:t>
            </w:r>
          </w:p>
        </w:tc>
      </w:tr>
      <w:tr w:rsidR="009C7A1A" w:rsidRPr="007504E6" w14:paraId="7C3E955B" w14:textId="77777777" w:rsidTr="005F622A">
        <w:trPr>
          <w:trHeight w:val="288"/>
        </w:trPr>
        <w:tc>
          <w:tcPr>
            <w:tcW w:w="4815" w:type="dxa"/>
            <w:noWrap/>
          </w:tcPr>
          <w:p w14:paraId="5BA76D0D" w14:textId="4CA289F0" w:rsidR="009C7A1A" w:rsidRPr="007504E6" w:rsidRDefault="009C7A1A" w:rsidP="009C7A1A">
            <w:pPr>
              <w:spacing w:line="276" w:lineRule="auto"/>
              <w:ind w:firstLine="0"/>
              <w:jc w:val="left"/>
              <w:rPr>
                <w:rFonts w:ascii="Times New Roman" w:eastAsia="Times New Roman" w:hAnsi="Times New Roman" w:cs="Times New Roman"/>
                <w:color w:val="000000"/>
                <w:lang w:val="en-GB" w:eastAsia="lv-LV"/>
              </w:rPr>
            </w:pPr>
            <w:r w:rsidRPr="007504E6">
              <w:rPr>
                <w:szCs w:val="20"/>
                <w:lang w:val="en-GB"/>
              </w:rPr>
              <w:t>Expert forecasts of changes in the volume of construction output of urban infrastructure objects</w:t>
            </w:r>
          </w:p>
        </w:tc>
        <w:tc>
          <w:tcPr>
            <w:tcW w:w="850" w:type="dxa"/>
            <w:noWrap/>
          </w:tcPr>
          <w:p w14:paraId="410F6988" w14:textId="1CB4DAAA" w:rsidR="009C7A1A" w:rsidRPr="007504E6" w:rsidRDefault="009C7A1A" w:rsidP="009C7A1A">
            <w:pPr>
              <w:spacing w:line="276" w:lineRule="auto"/>
              <w:ind w:firstLine="0"/>
              <w:jc w:val="center"/>
              <w:rPr>
                <w:rFonts w:ascii="Times New Roman" w:hAnsi="Times New Roman" w:cs="Times New Roman"/>
                <w:color w:val="000000"/>
                <w:lang w:val="en-GB"/>
              </w:rPr>
            </w:pPr>
            <w:r w:rsidRPr="007504E6">
              <w:rPr>
                <w:szCs w:val="20"/>
                <w:lang w:val="en-GB"/>
              </w:rPr>
              <w:t>6.86</w:t>
            </w:r>
          </w:p>
        </w:tc>
        <w:tc>
          <w:tcPr>
            <w:tcW w:w="709" w:type="dxa"/>
            <w:noWrap/>
          </w:tcPr>
          <w:p w14:paraId="07507022" w14:textId="5B98642B" w:rsidR="009C7A1A" w:rsidRPr="007504E6" w:rsidRDefault="009C7A1A" w:rsidP="009C7A1A">
            <w:pPr>
              <w:spacing w:line="276" w:lineRule="auto"/>
              <w:ind w:firstLine="0"/>
              <w:jc w:val="center"/>
              <w:rPr>
                <w:rFonts w:ascii="Times New Roman" w:hAnsi="Times New Roman" w:cs="Times New Roman"/>
                <w:color w:val="000000"/>
                <w:lang w:val="en-GB"/>
              </w:rPr>
            </w:pPr>
            <w:r w:rsidRPr="007504E6">
              <w:rPr>
                <w:szCs w:val="20"/>
                <w:lang w:val="en-GB"/>
              </w:rPr>
              <w:t>12.14</w:t>
            </w:r>
          </w:p>
        </w:tc>
        <w:tc>
          <w:tcPr>
            <w:tcW w:w="851" w:type="dxa"/>
            <w:noWrap/>
          </w:tcPr>
          <w:p w14:paraId="33EA8724" w14:textId="59CB205C" w:rsidR="009C7A1A" w:rsidRPr="007504E6" w:rsidRDefault="009C7A1A" w:rsidP="009C7A1A">
            <w:pPr>
              <w:spacing w:line="276" w:lineRule="auto"/>
              <w:ind w:firstLine="0"/>
              <w:jc w:val="center"/>
              <w:rPr>
                <w:rFonts w:ascii="Times New Roman" w:hAnsi="Times New Roman" w:cs="Times New Roman"/>
                <w:color w:val="000000"/>
                <w:lang w:val="en-GB"/>
              </w:rPr>
            </w:pPr>
            <w:r w:rsidRPr="007504E6">
              <w:rPr>
                <w:szCs w:val="20"/>
                <w:lang w:val="en-GB"/>
              </w:rPr>
              <w:t>10.57</w:t>
            </w:r>
          </w:p>
        </w:tc>
        <w:tc>
          <w:tcPr>
            <w:tcW w:w="708" w:type="dxa"/>
            <w:noWrap/>
          </w:tcPr>
          <w:p w14:paraId="474F5229" w14:textId="437ECE72" w:rsidR="009C7A1A" w:rsidRPr="007504E6" w:rsidRDefault="009C7A1A" w:rsidP="009C7A1A">
            <w:pPr>
              <w:spacing w:line="276" w:lineRule="auto"/>
              <w:ind w:firstLine="0"/>
              <w:jc w:val="center"/>
              <w:rPr>
                <w:rFonts w:ascii="Times New Roman" w:hAnsi="Times New Roman" w:cs="Times New Roman"/>
                <w:color w:val="000000"/>
                <w:lang w:val="en-GB"/>
              </w:rPr>
            </w:pPr>
            <w:r w:rsidRPr="007504E6">
              <w:rPr>
                <w:szCs w:val="20"/>
                <w:lang w:val="en-GB"/>
              </w:rPr>
              <w:t>10.14</w:t>
            </w:r>
          </w:p>
        </w:tc>
        <w:tc>
          <w:tcPr>
            <w:tcW w:w="1134" w:type="dxa"/>
            <w:noWrap/>
          </w:tcPr>
          <w:p w14:paraId="490FBFD1" w14:textId="326FBECF" w:rsidR="009C7A1A" w:rsidRPr="007504E6" w:rsidRDefault="009C7A1A" w:rsidP="009C7A1A">
            <w:pPr>
              <w:spacing w:line="276" w:lineRule="auto"/>
              <w:ind w:firstLine="0"/>
              <w:jc w:val="center"/>
              <w:rPr>
                <w:rFonts w:ascii="Times New Roman" w:hAnsi="Times New Roman" w:cs="Times New Roman"/>
                <w:color w:val="000000"/>
                <w:lang w:val="en-GB"/>
              </w:rPr>
            </w:pPr>
            <w:r w:rsidRPr="007504E6">
              <w:rPr>
                <w:szCs w:val="20"/>
                <w:lang w:val="en-GB"/>
              </w:rPr>
              <w:t>7.29</w:t>
            </w:r>
          </w:p>
        </w:tc>
      </w:tr>
      <w:tr w:rsidR="009C7A1A" w:rsidRPr="007504E6" w14:paraId="284BD5FB" w14:textId="77777777" w:rsidTr="005F622A">
        <w:trPr>
          <w:trHeight w:val="288"/>
        </w:trPr>
        <w:tc>
          <w:tcPr>
            <w:tcW w:w="4815" w:type="dxa"/>
            <w:noWrap/>
          </w:tcPr>
          <w:p w14:paraId="03F7CBDE" w14:textId="77777777" w:rsidR="009C7A1A" w:rsidRPr="007504E6" w:rsidRDefault="009C7A1A" w:rsidP="009C7A1A">
            <w:pPr>
              <w:pStyle w:val="Paraststmeklis"/>
              <w:spacing w:before="0" w:beforeAutospacing="0" w:after="0" w:afterAutospacing="0" w:line="230" w:lineRule="atLeast"/>
              <w:rPr>
                <w:sz w:val="20"/>
                <w:szCs w:val="20"/>
                <w:lang w:val="en-GB"/>
              </w:rPr>
            </w:pPr>
            <w:r w:rsidRPr="007504E6">
              <w:rPr>
                <w:sz w:val="20"/>
                <w:szCs w:val="20"/>
                <w:lang w:val="en-GB"/>
              </w:rPr>
              <w:t>Combined forecast of changes in the volume of construction output of urban infrastructure objects</w:t>
            </w:r>
          </w:p>
          <w:p w14:paraId="7D505687" w14:textId="5454ADC2" w:rsidR="009C7A1A" w:rsidRPr="007504E6" w:rsidRDefault="009C7A1A" w:rsidP="009C7A1A">
            <w:pPr>
              <w:spacing w:line="276" w:lineRule="auto"/>
              <w:ind w:firstLine="0"/>
              <w:jc w:val="left"/>
              <w:rPr>
                <w:rFonts w:ascii="Times New Roman" w:eastAsia="Times New Roman" w:hAnsi="Times New Roman" w:cs="Times New Roman"/>
                <w:color w:val="000000"/>
                <w:lang w:val="en-GB" w:eastAsia="lv-LV"/>
              </w:rPr>
            </w:pPr>
            <w:r w:rsidRPr="007504E6">
              <w:rPr>
                <w:szCs w:val="20"/>
                <w:lang w:val="en-GB"/>
              </w:rPr>
              <w:t> </w:t>
            </w:r>
          </w:p>
        </w:tc>
        <w:tc>
          <w:tcPr>
            <w:tcW w:w="850" w:type="dxa"/>
            <w:noWrap/>
          </w:tcPr>
          <w:p w14:paraId="0E146C36" w14:textId="000940AC" w:rsidR="009C7A1A" w:rsidRPr="007504E6" w:rsidRDefault="009C7A1A" w:rsidP="009C7A1A">
            <w:pPr>
              <w:spacing w:line="276" w:lineRule="auto"/>
              <w:ind w:firstLine="0"/>
              <w:jc w:val="center"/>
              <w:rPr>
                <w:rFonts w:ascii="Times New Roman" w:hAnsi="Times New Roman" w:cs="Times New Roman"/>
                <w:color w:val="000000"/>
                <w:lang w:val="en-GB"/>
              </w:rPr>
            </w:pPr>
            <w:r w:rsidRPr="007504E6">
              <w:rPr>
                <w:szCs w:val="20"/>
                <w:lang w:val="en-GB"/>
              </w:rPr>
              <w:t>2.74</w:t>
            </w:r>
          </w:p>
        </w:tc>
        <w:tc>
          <w:tcPr>
            <w:tcW w:w="709" w:type="dxa"/>
            <w:noWrap/>
          </w:tcPr>
          <w:p w14:paraId="40880E23" w14:textId="46A286B3" w:rsidR="009C7A1A" w:rsidRPr="007504E6" w:rsidRDefault="009C7A1A" w:rsidP="009C7A1A">
            <w:pPr>
              <w:spacing w:line="276" w:lineRule="auto"/>
              <w:ind w:firstLine="0"/>
              <w:jc w:val="center"/>
              <w:rPr>
                <w:rFonts w:ascii="Times New Roman" w:hAnsi="Times New Roman" w:cs="Times New Roman"/>
                <w:color w:val="000000"/>
                <w:lang w:val="en-GB"/>
              </w:rPr>
            </w:pPr>
            <w:r w:rsidRPr="007504E6">
              <w:rPr>
                <w:szCs w:val="20"/>
                <w:lang w:val="en-GB"/>
              </w:rPr>
              <w:t>4.98</w:t>
            </w:r>
          </w:p>
        </w:tc>
        <w:tc>
          <w:tcPr>
            <w:tcW w:w="851" w:type="dxa"/>
            <w:noWrap/>
          </w:tcPr>
          <w:p w14:paraId="3E93293C" w14:textId="4971FF44" w:rsidR="009C7A1A" w:rsidRPr="007504E6" w:rsidRDefault="009C7A1A" w:rsidP="009C7A1A">
            <w:pPr>
              <w:spacing w:line="276" w:lineRule="auto"/>
              <w:ind w:firstLine="0"/>
              <w:jc w:val="center"/>
              <w:rPr>
                <w:rFonts w:ascii="Times New Roman" w:hAnsi="Times New Roman" w:cs="Times New Roman"/>
                <w:color w:val="000000"/>
                <w:lang w:val="en-GB"/>
              </w:rPr>
            </w:pPr>
            <w:r w:rsidRPr="007504E6">
              <w:rPr>
                <w:szCs w:val="20"/>
                <w:lang w:val="en-GB"/>
              </w:rPr>
              <w:t>3.81</w:t>
            </w:r>
          </w:p>
        </w:tc>
        <w:tc>
          <w:tcPr>
            <w:tcW w:w="708" w:type="dxa"/>
            <w:noWrap/>
          </w:tcPr>
          <w:p w14:paraId="2EA1B871" w14:textId="75726020" w:rsidR="009C7A1A" w:rsidRPr="007504E6" w:rsidRDefault="009C7A1A" w:rsidP="009C7A1A">
            <w:pPr>
              <w:spacing w:line="276" w:lineRule="auto"/>
              <w:ind w:firstLine="0"/>
              <w:jc w:val="center"/>
              <w:rPr>
                <w:rFonts w:ascii="Times New Roman" w:hAnsi="Times New Roman" w:cs="Times New Roman"/>
                <w:color w:val="000000"/>
                <w:lang w:val="en-GB"/>
              </w:rPr>
            </w:pPr>
            <w:r w:rsidRPr="007504E6">
              <w:rPr>
                <w:szCs w:val="20"/>
                <w:lang w:val="en-GB"/>
              </w:rPr>
              <w:t>3.26</w:t>
            </w:r>
          </w:p>
        </w:tc>
        <w:tc>
          <w:tcPr>
            <w:tcW w:w="1134" w:type="dxa"/>
            <w:noWrap/>
          </w:tcPr>
          <w:p w14:paraId="0D2D9222" w14:textId="5DA3680D" w:rsidR="009C7A1A" w:rsidRPr="007504E6" w:rsidRDefault="009C7A1A" w:rsidP="009C7A1A">
            <w:pPr>
              <w:spacing w:line="276" w:lineRule="auto"/>
              <w:ind w:firstLine="0"/>
              <w:jc w:val="center"/>
              <w:rPr>
                <w:rFonts w:ascii="Times New Roman" w:hAnsi="Times New Roman" w:cs="Times New Roman"/>
                <w:color w:val="000000"/>
                <w:lang w:val="en-GB"/>
              </w:rPr>
            </w:pPr>
            <w:r w:rsidRPr="007504E6">
              <w:rPr>
                <w:szCs w:val="20"/>
                <w:lang w:val="en-GB"/>
              </w:rPr>
              <w:t>1.51</w:t>
            </w:r>
          </w:p>
        </w:tc>
      </w:tr>
      <w:tr w:rsidR="001B7A52" w:rsidRPr="007504E6" w14:paraId="0D9B52BE" w14:textId="77777777" w:rsidTr="005F622A">
        <w:trPr>
          <w:trHeight w:val="288"/>
        </w:trPr>
        <w:tc>
          <w:tcPr>
            <w:tcW w:w="9067" w:type="dxa"/>
            <w:gridSpan w:val="6"/>
            <w:noWrap/>
          </w:tcPr>
          <w:p w14:paraId="4EB840D0" w14:textId="206688B4" w:rsidR="001B7A52" w:rsidRPr="007504E6" w:rsidRDefault="009C7A1A" w:rsidP="00B9247E">
            <w:pPr>
              <w:spacing w:line="276" w:lineRule="auto"/>
              <w:ind w:firstLine="0"/>
              <w:jc w:val="center"/>
              <w:rPr>
                <w:rFonts w:ascii="Times New Roman" w:hAnsi="Times New Roman" w:cs="Times New Roman"/>
                <w:color w:val="000000"/>
                <w:lang w:val="en-GB"/>
              </w:rPr>
            </w:pPr>
            <w:r w:rsidRPr="007504E6">
              <w:rPr>
                <w:rFonts w:ascii="Times New Roman" w:hAnsi="Times New Roman" w:cs="Times New Roman"/>
                <w:b/>
                <w:bCs/>
                <w:color w:val="000000"/>
                <w:lang w:val="en-GB"/>
              </w:rPr>
              <w:t>Production forecasts for specialized construction works</w:t>
            </w:r>
          </w:p>
        </w:tc>
      </w:tr>
      <w:tr w:rsidR="00DF6DB0" w:rsidRPr="007504E6" w14:paraId="272B97D7" w14:textId="77777777" w:rsidTr="005F622A">
        <w:trPr>
          <w:trHeight w:val="288"/>
        </w:trPr>
        <w:tc>
          <w:tcPr>
            <w:tcW w:w="4815" w:type="dxa"/>
            <w:noWrap/>
          </w:tcPr>
          <w:p w14:paraId="7C80A492" w14:textId="59064D38" w:rsidR="00DF6DB0" w:rsidRPr="007504E6" w:rsidRDefault="00DF6DB0" w:rsidP="00DF6DB0">
            <w:pPr>
              <w:spacing w:line="276" w:lineRule="auto"/>
              <w:ind w:firstLine="0"/>
              <w:jc w:val="left"/>
              <w:rPr>
                <w:rFonts w:ascii="Times New Roman" w:eastAsia="Times New Roman" w:hAnsi="Times New Roman" w:cs="Times New Roman"/>
                <w:color w:val="000000"/>
                <w:lang w:val="en-GB" w:eastAsia="lv-LV"/>
              </w:rPr>
            </w:pPr>
            <w:r w:rsidRPr="007504E6">
              <w:rPr>
                <w:szCs w:val="20"/>
                <w:lang w:val="en-GB"/>
              </w:rPr>
              <w:t>Expert forecast of changes in the volume of production of specialized construction works</w:t>
            </w:r>
          </w:p>
        </w:tc>
        <w:tc>
          <w:tcPr>
            <w:tcW w:w="850" w:type="dxa"/>
            <w:noWrap/>
          </w:tcPr>
          <w:p w14:paraId="6E367158" w14:textId="1AE17FB2" w:rsidR="00DF6DB0" w:rsidRPr="007504E6" w:rsidRDefault="00DF6DB0" w:rsidP="00DF6DB0">
            <w:pPr>
              <w:spacing w:line="276" w:lineRule="auto"/>
              <w:ind w:firstLine="0"/>
              <w:jc w:val="center"/>
              <w:rPr>
                <w:rFonts w:ascii="Times New Roman" w:hAnsi="Times New Roman" w:cs="Times New Roman"/>
                <w:color w:val="000000"/>
                <w:lang w:val="en-GB"/>
              </w:rPr>
            </w:pPr>
            <w:r w:rsidRPr="007504E6">
              <w:rPr>
                <w:szCs w:val="20"/>
                <w:lang w:val="en-GB"/>
              </w:rPr>
              <w:t>9.86</w:t>
            </w:r>
          </w:p>
        </w:tc>
        <w:tc>
          <w:tcPr>
            <w:tcW w:w="709" w:type="dxa"/>
            <w:noWrap/>
          </w:tcPr>
          <w:p w14:paraId="39A723FF" w14:textId="277B4D3C" w:rsidR="00DF6DB0" w:rsidRPr="007504E6" w:rsidRDefault="00DF6DB0" w:rsidP="00DF6DB0">
            <w:pPr>
              <w:spacing w:line="276" w:lineRule="auto"/>
              <w:ind w:firstLine="0"/>
              <w:jc w:val="center"/>
              <w:rPr>
                <w:rFonts w:ascii="Times New Roman" w:hAnsi="Times New Roman" w:cs="Times New Roman"/>
                <w:color w:val="000000"/>
                <w:lang w:val="en-GB"/>
              </w:rPr>
            </w:pPr>
            <w:r w:rsidRPr="007504E6">
              <w:rPr>
                <w:szCs w:val="20"/>
                <w:lang w:val="en-GB"/>
              </w:rPr>
              <w:t>12.29</w:t>
            </w:r>
          </w:p>
        </w:tc>
        <w:tc>
          <w:tcPr>
            <w:tcW w:w="851" w:type="dxa"/>
            <w:noWrap/>
          </w:tcPr>
          <w:p w14:paraId="5C1CBE2F" w14:textId="281D2C1E" w:rsidR="00DF6DB0" w:rsidRPr="007504E6" w:rsidRDefault="00DF6DB0" w:rsidP="00DF6DB0">
            <w:pPr>
              <w:spacing w:line="276" w:lineRule="auto"/>
              <w:ind w:firstLine="0"/>
              <w:jc w:val="center"/>
              <w:rPr>
                <w:rFonts w:ascii="Times New Roman" w:hAnsi="Times New Roman" w:cs="Times New Roman"/>
                <w:color w:val="000000"/>
                <w:lang w:val="en-GB"/>
              </w:rPr>
            </w:pPr>
            <w:r w:rsidRPr="007504E6">
              <w:rPr>
                <w:szCs w:val="20"/>
                <w:lang w:val="en-GB"/>
              </w:rPr>
              <w:t>8.86</w:t>
            </w:r>
          </w:p>
        </w:tc>
        <w:tc>
          <w:tcPr>
            <w:tcW w:w="708" w:type="dxa"/>
            <w:noWrap/>
          </w:tcPr>
          <w:p w14:paraId="55B8F507" w14:textId="5BB0D8F5" w:rsidR="00DF6DB0" w:rsidRPr="007504E6" w:rsidRDefault="00DF6DB0" w:rsidP="00DF6DB0">
            <w:pPr>
              <w:spacing w:line="276" w:lineRule="auto"/>
              <w:ind w:firstLine="0"/>
              <w:jc w:val="center"/>
              <w:rPr>
                <w:rFonts w:ascii="Times New Roman" w:hAnsi="Times New Roman" w:cs="Times New Roman"/>
                <w:color w:val="000000"/>
                <w:lang w:val="en-GB"/>
              </w:rPr>
            </w:pPr>
            <w:r w:rsidRPr="007504E6">
              <w:rPr>
                <w:szCs w:val="20"/>
                <w:lang w:val="en-GB"/>
              </w:rPr>
              <w:t>5.86</w:t>
            </w:r>
          </w:p>
        </w:tc>
        <w:tc>
          <w:tcPr>
            <w:tcW w:w="1134" w:type="dxa"/>
            <w:noWrap/>
          </w:tcPr>
          <w:p w14:paraId="339CF339" w14:textId="0F0DD60F" w:rsidR="00DF6DB0" w:rsidRPr="007504E6" w:rsidRDefault="00DF6DB0" w:rsidP="00DF6DB0">
            <w:pPr>
              <w:spacing w:line="276" w:lineRule="auto"/>
              <w:ind w:firstLine="0"/>
              <w:jc w:val="center"/>
              <w:rPr>
                <w:rFonts w:ascii="Times New Roman" w:hAnsi="Times New Roman" w:cs="Times New Roman"/>
                <w:color w:val="000000"/>
                <w:lang w:val="en-GB"/>
              </w:rPr>
            </w:pPr>
            <w:r w:rsidRPr="007504E6">
              <w:rPr>
                <w:szCs w:val="20"/>
                <w:lang w:val="en-GB"/>
              </w:rPr>
              <w:t>6.00</w:t>
            </w:r>
          </w:p>
        </w:tc>
      </w:tr>
      <w:tr w:rsidR="00DF6DB0" w:rsidRPr="007504E6" w14:paraId="586FB135" w14:textId="77777777" w:rsidTr="005F622A">
        <w:trPr>
          <w:trHeight w:val="288"/>
        </w:trPr>
        <w:tc>
          <w:tcPr>
            <w:tcW w:w="4815" w:type="dxa"/>
            <w:noWrap/>
          </w:tcPr>
          <w:p w14:paraId="20D9AD8E" w14:textId="77777777" w:rsidR="00DF6DB0" w:rsidRPr="007504E6" w:rsidRDefault="00DF6DB0" w:rsidP="00DF6DB0">
            <w:pPr>
              <w:pStyle w:val="Paraststmeklis"/>
              <w:spacing w:before="0" w:beforeAutospacing="0" w:after="0" w:afterAutospacing="0" w:line="230" w:lineRule="atLeast"/>
              <w:rPr>
                <w:sz w:val="20"/>
                <w:szCs w:val="20"/>
                <w:lang w:val="en-GB"/>
              </w:rPr>
            </w:pPr>
            <w:r w:rsidRPr="007504E6">
              <w:rPr>
                <w:sz w:val="20"/>
                <w:szCs w:val="20"/>
                <w:lang w:val="en-GB"/>
              </w:rPr>
              <w:t>Combined forecast of changes in the volume of specialized construction output</w:t>
            </w:r>
          </w:p>
          <w:p w14:paraId="1F5ACD44" w14:textId="59E3EB97" w:rsidR="00DF6DB0" w:rsidRPr="007504E6" w:rsidRDefault="00DF6DB0" w:rsidP="00DF6DB0">
            <w:pPr>
              <w:spacing w:line="276" w:lineRule="auto"/>
              <w:ind w:firstLine="0"/>
              <w:jc w:val="left"/>
              <w:rPr>
                <w:rFonts w:ascii="Times New Roman" w:eastAsia="Times New Roman" w:hAnsi="Times New Roman" w:cs="Times New Roman"/>
                <w:color w:val="000000"/>
                <w:lang w:val="en-GB" w:eastAsia="lv-LV"/>
              </w:rPr>
            </w:pPr>
            <w:r w:rsidRPr="007504E6">
              <w:rPr>
                <w:szCs w:val="20"/>
                <w:lang w:val="en-GB"/>
              </w:rPr>
              <w:t> </w:t>
            </w:r>
          </w:p>
        </w:tc>
        <w:tc>
          <w:tcPr>
            <w:tcW w:w="850" w:type="dxa"/>
            <w:noWrap/>
          </w:tcPr>
          <w:p w14:paraId="79817261" w14:textId="6793BF1A" w:rsidR="00DF6DB0" w:rsidRPr="007504E6" w:rsidRDefault="00DF6DB0" w:rsidP="00DF6DB0">
            <w:pPr>
              <w:spacing w:line="276" w:lineRule="auto"/>
              <w:ind w:firstLine="0"/>
              <w:jc w:val="center"/>
              <w:rPr>
                <w:rFonts w:ascii="Times New Roman" w:hAnsi="Times New Roman" w:cs="Times New Roman"/>
                <w:color w:val="000000"/>
                <w:lang w:val="en-GB"/>
              </w:rPr>
            </w:pPr>
            <w:r w:rsidRPr="007504E6">
              <w:rPr>
                <w:szCs w:val="20"/>
                <w:lang w:val="en-GB"/>
              </w:rPr>
              <w:t>8.17</w:t>
            </w:r>
          </w:p>
        </w:tc>
        <w:tc>
          <w:tcPr>
            <w:tcW w:w="709" w:type="dxa"/>
            <w:noWrap/>
          </w:tcPr>
          <w:p w14:paraId="760DFAC8" w14:textId="58EF09A0" w:rsidR="00DF6DB0" w:rsidRPr="007504E6" w:rsidRDefault="00DF6DB0" w:rsidP="00DF6DB0">
            <w:pPr>
              <w:spacing w:line="276" w:lineRule="auto"/>
              <w:ind w:firstLine="0"/>
              <w:jc w:val="center"/>
              <w:rPr>
                <w:rFonts w:ascii="Times New Roman" w:hAnsi="Times New Roman" w:cs="Times New Roman"/>
                <w:color w:val="000000"/>
                <w:lang w:val="en-GB"/>
              </w:rPr>
            </w:pPr>
            <w:r w:rsidRPr="007504E6">
              <w:rPr>
                <w:szCs w:val="20"/>
                <w:lang w:val="en-GB"/>
              </w:rPr>
              <w:t>9.31</w:t>
            </w:r>
          </w:p>
        </w:tc>
        <w:tc>
          <w:tcPr>
            <w:tcW w:w="851" w:type="dxa"/>
            <w:noWrap/>
          </w:tcPr>
          <w:p w14:paraId="115ABB20" w14:textId="73236E4E" w:rsidR="00DF6DB0" w:rsidRPr="007504E6" w:rsidRDefault="00DF6DB0" w:rsidP="00DF6DB0">
            <w:pPr>
              <w:spacing w:line="276" w:lineRule="auto"/>
              <w:ind w:firstLine="0"/>
              <w:jc w:val="center"/>
              <w:rPr>
                <w:rFonts w:ascii="Times New Roman" w:hAnsi="Times New Roman" w:cs="Times New Roman"/>
                <w:color w:val="000000"/>
                <w:lang w:val="en-GB"/>
              </w:rPr>
            </w:pPr>
            <w:r w:rsidRPr="007504E6">
              <w:rPr>
                <w:szCs w:val="20"/>
                <w:lang w:val="en-GB"/>
              </w:rPr>
              <w:t>7.52</w:t>
            </w:r>
          </w:p>
        </w:tc>
        <w:tc>
          <w:tcPr>
            <w:tcW w:w="708" w:type="dxa"/>
            <w:noWrap/>
          </w:tcPr>
          <w:p w14:paraId="60C986D3" w14:textId="3CC27F28" w:rsidR="00DF6DB0" w:rsidRPr="007504E6" w:rsidRDefault="00DF6DB0" w:rsidP="00DF6DB0">
            <w:pPr>
              <w:spacing w:line="276" w:lineRule="auto"/>
              <w:ind w:firstLine="0"/>
              <w:jc w:val="center"/>
              <w:rPr>
                <w:rFonts w:ascii="Times New Roman" w:hAnsi="Times New Roman" w:cs="Times New Roman"/>
                <w:color w:val="000000"/>
                <w:lang w:val="en-GB"/>
              </w:rPr>
            </w:pPr>
            <w:r w:rsidRPr="007504E6">
              <w:rPr>
                <w:szCs w:val="20"/>
                <w:lang w:val="en-GB"/>
              </w:rPr>
              <w:t>5.96</w:t>
            </w:r>
          </w:p>
        </w:tc>
        <w:tc>
          <w:tcPr>
            <w:tcW w:w="1134" w:type="dxa"/>
            <w:noWrap/>
          </w:tcPr>
          <w:p w14:paraId="2E464271" w14:textId="4868751C" w:rsidR="00DF6DB0" w:rsidRPr="007504E6" w:rsidRDefault="00DF6DB0" w:rsidP="00DF6DB0">
            <w:pPr>
              <w:spacing w:line="276" w:lineRule="auto"/>
              <w:ind w:firstLine="0"/>
              <w:jc w:val="center"/>
              <w:rPr>
                <w:szCs w:val="20"/>
                <w:lang w:val="en-GB"/>
              </w:rPr>
            </w:pPr>
            <w:r w:rsidRPr="007504E6">
              <w:rPr>
                <w:szCs w:val="20"/>
                <w:lang w:val="en-GB"/>
              </w:rPr>
              <w:t>5.97</w:t>
            </w:r>
          </w:p>
        </w:tc>
      </w:tr>
      <w:tr w:rsidR="001B7A52" w:rsidRPr="007504E6" w14:paraId="1472318A" w14:textId="77777777" w:rsidTr="005F622A">
        <w:trPr>
          <w:trHeight w:val="288"/>
        </w:trPr>
        <w:tc>
          <w:tcPr>
            <w:tcW w:w="9067" w:type="dxa"/>
            <w:gridSpan w:val="6"/>
            <w:noWrap/>
          </w:tcPr>
          <w:p w14:paraId="2932945B" w14:textId="3B86B573" w:rsidR="001B7A52" w:rsidRPr="007504E6" w:rsidRDefault="00356ADF" w:rsidP="00B9247E">
            <w:pPr>
              <w:spacing w:line="276" w:lineRule="auto"/>
              <w:ind w:firstLine="0"/>
              <w:jc w:val="center"/>
              <w:rPr>
                <w:rFonts w:ascii="Times New Roman" w:hAnsi="Times New Roman" w:cs="Times New Roman"/>
                <w:color w:val="000000"/>
                <w:lang w:val="en-GB"/>
              </w:rPr>
            </w:pPr>
            <w:r w:rsidRPr="007504E6">
              <w:rPr>
                <w:rFonts w:ascii="Times New Roman" w:hAnsi="Times New Roman" w:cs="Times New Roman"/>
                <w:b/>
                <w:bCs/>
                <w:color w:val="000000"/>
                <w:lang w:val="en-GB"/>
              </w:rPr>
              <w:t>Architectural and engineering services, technical testing and analysis forecasts</w:t>
            </w:r>
          </w:p>
        </w:tc>
      </w:tr>
      <w:tr w:rsidR="00356ADF" w:rsidRPr="007504E6" w14:paraId="2D1DCAFE" w14:textId="77777777" w:rsidTr="005F622A">
        <w:trPr>
          <w:trHeight w:val="288"/>
        </w:trPr>
        <w:tc>
          <w:tcPr>
            <w:tcW w:w="4815" w:type="dxa"/>
            <w:noWrap/>
          </w:tcPr>
          <w:p w14:paraId="5BCC1C55" w14:textId="56C0B115" w:rsidR="00356ADF" w:rsidRPr="007504E6" w:rsidRDefault="00356ADF" w:rsidP="00356ADF">
            <w:pPr>
              <w:spacing w:line="276" w:lineRule="auto"/>
              <w:ind w:firstLine="0"/>
              <w:jc w:val="left"/>
              <w:rPr>
                <w:rFonts w:ascii="Times New Roman" w:eastAsia="Times New Roman" w:hAnsi="Times New Roman" w:cs="Times New Roman"/>
                <w:color w:val="000000"/>
                <w:lang w:val="en-GB" w:eastAsia="lv-LV"/>
              </w:rPr>
            </w:pPr>
            <w:r w:rsidRPr="007504E6">
              <w:rPr>
                <w:szCs w:val="20"/>
                <w:lang w:val="en-GB"/>
              </w:rPr>
              <w:t>Expert forecast of changes in the volume of architectural and engineering services, technical testing and analysis</w:t>
            </w:r>
          </w:p>
        </w:tc>
        <w:tc>
          <w:tcPr>
            <w:tcW w:w="850" w:type="dxa"/>
            <w:noWrap/>
          </w:tcPr>
          <w:p w14:paraId="4067BD66" w14:textId="3F5302AC" w:rsidR="00356ADF" w:rsidRPr="007504E6" w:rsidRDefault="00356ADF" w:rsidP="00356ADF">
            <w:pPr>
              <w:spacing w:line="276" w:lineRule="auto"/>
              <w:ind w:firstLine="0"/>
              <w:jc w:val="center"/>
              <w:rPr>
                <w:rFonts w:ascii="Times New Roman" w:hAnsi="Times New Roman" w:cs="Times New Roman"/>
                <w:color w:val="000000"/>
                <w:lang w:val="en-GB"/>
              </w:rPr>
            </w:pPr>
            <w:r w:rsidRPr="007504E6">
              <w:rPr>
                <w:szCs w:val="20"/>
                <w:lang w:val="en-GB"/>
              </w:rPr>
              <w:t>6.43</w:t>
            </w:r>
          </w:p>
        </w:tc>
        <w:tc>
          <w:tcPr>
            <w:tcW w:w="709" w:type="dxa"/>
            <w:noWrap/>
          </w:tcPr>
          <w:p w14:paraId="66D9C7B2" w14:textId="2FB67449" w:rsidR="00356ADF" w:rsidRPr="007504E6" w:rsidRDefault="00356ADF" w:rsidP="00356ADF">
            <w:pPr>
              <w:spacing w:line="276" w:lineRule="auto"/>
              <w:ind w:firstLine="0"/>
              <w:jc w:val="center"/>
              <w:rPr>
                <w:rFonts w:ascii="Times New Roman" w:hAnsi="Times New Roman" w:cs="Times New Roman"/>
                <w:color w:val="000000"/>
                <w:lang w:val="en-GB"/>
              </w:rPr>
            </w:pPr>
            <w:r w:rsidRPr="007504E6">
              <w:rPr>
                <w:szCs w:val="20"/>
                <w:lang w:val="en-GB"/>
              </w:rPr>
              <w:t>11.43</w:t>
            </w:r>
          </w:p>
        </w:tc>
        <w:tc>
          <w:tcPr>
            <w:tcW w:w="851" w:type="dxa"/>
            <w:noWrap/>
          </w:tcPr>
          <w:p w14:paraId="4BCEE91B" w14:textId="305B1433" w:rsidR="00356ADF" w:rsidRPr="007504E6" w:rsidRDefault="00356ADF" w:rsidP="00356ADF">
            <w:pPr>
              <w:spacing w:line="276" w:lineRule="auto"/>
              <w:ind w:firstLine="0"/>
              <w:jc w:val="center"/>
              <w:rPr>
                <w:rFonts w:ascii="Times New Roman" w:hAnsi="Times New Roman" w:cs="Times New Roman"/>
                <w:color w:val="000000"/>
                <w:lang w:val="en-GB"/>
              </w:rPr>
            </w:pPr>
            <w:r w:rsidRPr="007504E6">
              <w:rPr>
                <w:szCs w:val="20"/>
                <w:lang w:val="en-GB"/>
              </w:rPr>
              <w:t>14.29</w:t>
            </w:r>
          </w:p>
        </w:tc>
        <w:tc>
          <w:tcPr>
            <w:tcW w:w="708" w:type="dxa"/>
            <w:noWrap/>
          </w:tcPr>
          <w:p w14:paraId="5BD18ACC" w14:textId="1B093E88" w:rsidR="00356ADF" w:rsidRPr="007504E6" w:rsidRDefault="00356ADF" w:rsidP="00356ADF">
            <w:pPr>
              <w:spacing w:line="276" w:lineRule="auto"/>
              <w:ind w:firstLine="0"/>
              <w:jc w:val="center"/>
              <w:rPr>
                <w:rFonts w:ascii="Times New Roman" w:hAnsi="Times New Roman" w:cs="Times New Roman"/>
                <w:color w:val="000000"/>
                <w:lang w:val="en-GB"/>
              </w:rPr>
            </w:pPr>
            <w:r w:rsidRPr="007504E6">
              <w:rPr>
                <w:szCs w:val="20"/>
                <w:lang w:val="en-GB"/>
              </w:rPr>
              <w:t>17.86</w:t>
            </w:r>
          </w:p>
        </w:tc>
        <w:tc>
          <w:tcPr>
            <w:tcW w:w="1134" w:type="dxa"/>
            <w:noWrap/>
          </w:tcPr>
          <w:p w14:paraId="10C693B9" w14:textId="3300EA6C" w:rsidR="00356ADF" w:rsidRPr="007504E6" w:rsidRDefault="00356ADF" w:rsidP="00356ADF">
            <w:pPr>
              <w:spacing w:line="276" w:lineRule="auto"/>
              <w:ind w:firstLine="0"/>
              <w:jc w:val="center"/>
              <w:rPr>
                <w:rFonts w:ascii="Times New Roman" w:hAnsi="Times New Roman" w:cs="Times New Roman"/>
                <w:color w:val="000000"/>
                <w:lang w:val="en-GB"/>
              </w:rPr>
            </w:pPr>
            <w:r w:rsidRPr="007504E6">
              <w:rPr>
                <w:szCs w:val="20"/>
                <w:lang w:val="en-GB"/>
              </w:rPr>
              <w:t>12.14</w:t>
            </w:r>
          </w:p>
        </w:tc>
      </w:tr>
      <w:bookmarkEnd w:id="13"/>
    </w:tbl>
    <w:p w14:paraId="184F07F4" w14:textId="77777777" w:rsidR="009B1762" w:rsidRPr="007504E6" w:rsidRDefault="009B1762" w:rsidP="00B9247E">
      <w:pPr>
        <w:spacing w:line="276" w:lineRule="auto"/>
        <w:rPr>
          <w:rFonts w:ascii="Times New Roman" w:hAnsi="Times New Roman" w:cs="Times New Roman"/>
          <w:lang w:val="en-GB"/>
        </w:rPr>
      </w:pPr>
    </w:p>
    <w:p w14:paraId="04728A6A" w14:textId="77777777" w:rsidR="009D723F" w:rsidRPr="007504E6" w:rsidRDefault="009D723F" w:rsidP="009D723F">
      <w:pPr>
        <w:spacing w:line="276" w:lineRule="auto"/>
        <w:ind w:firstLine="0"/>
        <w:rPr>
          <w:rFonts w:ascii="Times New Roman" w:hAnsi="Times New Roman" w:cs="Times New Roman"/>
          <w:lang w:val="en-GB"/>
        </w:rPr>
      </w:pPr>
      <w:r w:rsidRPr="007504E6">
        <w:rPr>
          <w:rFonts w:ascii="Times New Roman" w:hAnsi="Times New Roman" w:cs="Times New Roman"/>
          <w:lang w:val="en-GB"/>
        </w:rPr>
        <w:t>In the sub-sector of urban infrastructure, experts' view of further development is relatively optimistic with rapid growth of over 10% per year from 2022 to 2024. Adjusting this view for statistical forecasts and thus obtaining complex forecasts, it is estimated that in the short term this sub-sector would have moderate growth below the 10% threshold, which will become more moderate in 2022 and only a few percent per year in the medium term.</w:t>
      </w:r>
    </w:p>
    <w:p w14:paraId="3934BB48" w14:textId="77777777" w:rsidR="009D723F" w:rsidRPr="007504E6" w:rsidRDefault="009D723F" w:rsidP="009D723F">
      <w:pPr>
        <w:spacing w:line="276" w:lineRule="auto"/>
        <w:ind w:firstLine="0"/>
        <w:rPr>
          <w:rFonts w:ascii="Times New Roman" w:hAnsi="Times New Roman" w:cs="Times New Roman"/>
          <w:lang w:val="en-GB"/>
        </w:rPr>
      </w:pPr>
    </w:p>
    <w:p w14:paraId="0C0AF7B3" w14:textId="29C37C72" w:rsidR="002B247E" w:rsidRPr="007504E6" w:rsidRDefault="009D723F" w:rsidP="009D723F">
      <w:pPr>
        <w:spacing w:line="276" w:lineRule="auto"/>
        <w:ind w:firstLine="0"/>
        <w:rPr>
          <w:rFonts w:ascii="Times New Roman" w:hAnsi="Times New Roman" w:cs="Times New Roman"/>
          <w:lang w:val="en-GB"/>
        </w:rPr>
      </w:pPr>
      <w:r w:rsidRPr="007504E6">
        <w:rPr>
          <w:rFonts w:ascii="Times New Roman" w:hAnsi="Times New Roman" w:cs="Times New Roman"/>
          <w:lang w:val="en-GB"/>
        </w:rPr>
        <w:t>In the sub-sector of architectural and engineering services, technical testing and analysis, only expert evaluation is used, because there is not enough information in the accounting of statistical data of this sector for statistical analysis. Consequently, the authors of the paper believe that based on the trends of other sub-sectors, a hypothetical combined forecast would be lower than the obtained expert assessment. In general, experts forecast the peak of growth of the sub-sector in 2024. In the period from 2022 to 2025, an annual volume growth of over 10% is forecast, which can be assessed as relatively high</w:t>
      </w:r>
      <w:r w:rsidR="002B247E" w:rsidRPr="007504E6">
        <w:rPr>
          <w:rFonts w:ascii="Times New Roman" w:hAnsi="Times New Roman" w:cs="Times New Roman"/>
          <w:lang w:val="en-GB"/>
        </w:rPr>
        <w:t>.</w:t>
      </w:r>
    </w:p>
    <w:p w14:paraId="66BFD7CB" w14:textId="77777777" w:rsidR="00040C30" w:rsidRPr="007504E6" w:rsidRDefault="00040C30" w:rsidP="002B247E">
      <w:pPr>
        <w:spacing w:line="276" w:lineRule="auto"/>
        <w:ind w:firstLine="0"/>
        <w:rPr>
          <w:rFonts w:ascii="Times New Roman" w:hAnsi="Times New Roman" w:cs="Times New Roman"/>
          <w:lang w:val="en-GB"/>
        </w:rPr>
      </w:pPr>
    </w:p>
    <w:p w14:paraId="229E70AD" w14:textId="14B4EFA5" w:rsidR="00040C30" w:rsidRPr="007504E6" w:rsidRDefault="009D723F" w:rsidP="002B247E">
      <w:pPr>
        <w:spacing w:line="276" w:lineRule="auto"/>
        <w:ind w:firstLine="0"/>
        <w:rPr>
          <w:rFonts w:ascii="Times New Roman" w:hAnsi="Times New Roman" w:cs="Times New Roman"/>
          <w:b/>
          <w:bCs/>
          <w:lang w:val="en-GB"/>
        </w:rPr>
      </w:pPr>
      <w:r w:rsidRPr="007504E6">
        <w:rPr>
          <w:rFonts w:ascii="Times New Roman" w:hAnsi="Times New Roman" w:cs="Times New Roman"/>
          <w:b/>
          <w:bCs/>
          <w:lang w:val="en-GB"/>
        </w:rPr>
        <w:t>Forecasts of changes in construction costs by subsectors</w:t>
      </w:r>
    </w:p>
    <w:p w14:paraId="5FA5C0E8" w14:textId="77777777" w:rsidR="00040C30" w:rsidRPr="007504E6" w:rsidRDefault="00040C30" w:rsidP="002B247E">
      <w:pPr>
        <w:spacing w:line="276" w:lineRule="auto"/>
        <w:ind w:firstLine="0"/>
        <w:rPr>
          <w:rFonts w:ascii="Times New Roman" w:hAnsi="Times New Roman" w:cs="Times New Roman"/>
          <w:lang w:val="en-GB"/>
        </w:rPr>
      </w:pPr>
    </w:p>
    <w:p w14:paraId="33CA79C4" w14:textId="499CDC0D" w:rsidR="00386433" w:rsidRPr="007504E6" w:rsidRDefault="009D723F" w:rsidP="00386433">
      <w:pPr>
        <w:spacing w:line="276" w:lineRule="auto"/>
        <w:ind w:firstLine="0"/>
        <w:rPr>
          <w:rFonts w:ascii="Times New Roman" w:hAnsi="Times New Roman" w:cs="Times New Roman"/>
          <w:lang w:val="en-GB"/>
        </w:rPr>
      </w:pPr>
      <w:r w:rsidRPr="007504E6">
        <w:rPr>
          <w:rFonts w:ascii="Times New Roman" w:hAnsi="Times New Roman" w:cs="Times New Roman"/>
          <w:lang w:val="en-GB"/>
        </w:rPr>
        <w:t>In general, the forecasts for changes in construction costs set by sub-sector experts maintain similar trends as the forecasts for changes in the volume of construction output. In the period from 2021-2025. The largest increase in costs is forecast for the construction of transport facilities (roads, railways, bridges, tunnels, etc.). In other sub-sectors, in almost all sub-sectors in 2021, more than 10% of cost growth is forecast, which will consistently decrease in the coming years</w:t>
      </w:r>
      <w:r w:rsidR="0095069B" w:rsidRPr="007504E6">
        <w:rPr>
          <w:rFonts w:ascii="Times New Roman" w:hAnsi="Times New Roman" w:cs="Times New Roman"/>
          <w:lang w:val="en-GB"/>
        </w:rPr>
        <w:t xml:space="preserve">. </w:t>
      </w:r>
    </w:p>
    <w:p w14:paraId="21B2C288" w14:textId="77777777" w:rsidR="00791BF7" w:rsidRPr="007504E6" w:rsidRDefault="00791BF7" w:rsidP="00386433">
      <w:pPr>
        <w:spacing w:line="276" w:lineRule="auto"/>
        <w:ind w:firstLine="0"/>
        <w:rPr>
          <w:rFonts w:ascii="Times New Roman" w:hAnsi="Times New Roman" w:cs="Times New Roman"/>
          <w:lang w:val="en-GB"/>
        </w:rPr>
      </w:pPr>
    </w:p>
    <w:p w14:paraId="2798B546" w14:textId="65EFEB28" w:rsidR="005F622A" w:rsidRPr="007504E6" w:rsidRDefault="009D723F" w:rsidP="005F622A">
      <w:pPr>
        <w:pStyle w:val="Parakstszemobjekta"/>
        <w:spacing w:after="0"/>
        <w:jc w:val="right"/>
        <w:rPr>
          <w:lang w:val="en-GB"/>
        </w:rPr>
      </w:pPr>
      <w:r w:rsidRPr="007504E6">
        <w:rPr>
          <w:lang w:val="en-GB"/>
        </w:rPr>
        <w:t>Table</w:t>
      </w:r>
      <w:r w:rsidR="001B0C98" w:rsidRPr="007504E6">
        <w:rPr>
          <w:lang w:val="en-GB"/>
        </w:rPr>
        <w:t xml:space="preserve">  </w:t>
      </w:r>
      <w:r w:rsidR="00D64210" w:rsidRPr="007504E6">
        <w:rPr>
          <w:lang w:val="en-GB"/>
        </w:rPr>
        <w:fldChar w:fldCharType="begin"/>
      </w:r>
      <w:r w:rsidR="00D64210" w:rsidRPr="007504E6">
        <w:rPr>
          <w:lang w:val="en-GB"/>
        </w:rPr>
        <w:instrText xml:space="preserve"> SEQ Tab._ \* ARABIC </w:instrText>
      </w:r>
      <w:r w:rsidR="00D64210" w:rsidRPr="007504E6">
        <w:rPr>
          <w:lang w:val="en-GB"/>
        </w:rPr>
        <w:fldChar w:fldCharType="separate"/>
      </w:r>
      <w:r w:rsidR="00D500F7">
        <w:rPr>
          <w:noProof/>
          <w:lang w:val="en-GB"/>
        </w:rPr>
        <w:t>11</w:t>
      </w:r>
      <w:r w:rsidR="00D64210" w:rsidRPr="007504E6">
        <w:rPr>
          <w:noProof/>
          <w:lang w:val="en-GB"/>
        </w:rPr>
        <w:fldChar w:fldCharType="end"/>
      </w:r>
      <w:r w:rsidR="001B0C98" w:rsidRPr="007504E6">
        <w:rPr>
          <w:lang w:val="en-GB"/>
        </w:rPr>
        <w:t>.</w:t>
      </w:r>
    </w:p>
    <w:p w14:paraId="508DCC6B" w14:textId="1D7BEF7B" w:rsidR="00E572EB" w:rsidRPr="007504E6" w:rsidRDefault="001B0C98" w:rsidP="005F622A">
      <w:pPr>
        <w:pStyle w:val="Parakstszemobjekta"/>
        <w:spacing w:after="0"/>
        <w:jc w:val="right"/>
        <w:rPr>
          <w:rFonts w:ascii="Times New Roman" w:hAnsi="Times New Roman" w:cs="Times New Roman"/>
          <w:lang w:val="en-GB"/>
        </w:rPr>
      </w:pPr>
      <w:r w:rsidRPr="007504E6">
        <w:rPr>
          <w:lang w:val="en-GB"/>
        </w:rPr>
        <w:t xml:space="preserve"> </w:t>
      </w:r>
      <w:r w:rsidR="009D723F" w:rsidRPr="007504E6">
        <w:rPr>
          <w:rFonts w:ascii="Times New Roman" w:hAnsi="Times New Roman" w:cs="Times New Roman"/>
          <w:lang w:val="en-GB"/>
        </w:rPr>
        <w:t>Forecasts of changes in construction costs as a percentage of the previous year according to the average assessment of sub-sector experts in 2021-2025</w:t>
      </w:r>
      <w:r w:rsidR="00DC1E84" w:rsidRPr="007504E6">
        <w:rPr>
          <w:rFonts w:ascii="Times New Roman" w:hAnsi="Times New Roman" w:cs="Times New Roman"/>
          <w:lang w:val="en-GB"/>
        </w:rPr>
        <w:t>.</w:t>
      </w:r>
    </w:p>
    <w:tbl>
      <w:tblPr>
        <w:tblStyle w:val="ListTable4-Accent31"/>
        <w:tblW w:w="9067" w:type="dxa"/>
        <w:tblLayout w:type="fixed"/>
        <w:tblLook w:val="0620" w:firstRow="1" w:lastRow="0" w:firstColumn="0" w:lastColumn="0" w:noHBand="1" w:noVBand="1"/>
      </w:tblPr>
      <w:tblGrid>
        <w:gridCol w:w="3681"/>
        <w:gridCol w:w="650"/>
        <w:gridCol w:w="64"/>
        <w:gridCol w:w="858"/>
        <w:gridCol w:w="857"/>
        <w:gridCol w:w="64"/>
        <w:gridCol w:w="665"/>
        <w:gridCol w:w="128"/>
        <w:gridCol w:w="825"/>
        <w:gridCol w:w="1275"/>
      </w:tblGrid>
      <w:tr w:rsidR="00CE15D7" w:rsidRPr="007504E6" w14:paraId="6657EC35" w14:textId="73C57955" w:rsidTr="00791BF7">
        <w:trPr>
          <w:cnfStyle w:val="100000000000" w:firstRow="1" w:lastRow="0" w:firstColumn="0" w:lastColumn="0" w:oddVBand="0" w:evenVBand="0" w:oddHBand="0" w:evenHBand="0" w:firstRowFirstColumn="0" w:firstRowLastColumn="0" w:lastRowFirstColumn="0" w:lastRowLastColumn="0"/>
          <w:trHeight w:val="288"/>
        </w:trPr>
        <w:tc>
          <w:tcPr>
            <w:tcW w:w="3681" w:type="dxa"/>
            <w:tcBorders>
              <w:bottom w:val="single" w:sz="4" w:space="0" w:color="BFBFBF" w:themeColor="background1" w:themeShade="BF"/>
            </w:tcBorders>
            <w:noWrap/>
            <w:hideMark/>
          </w:tcPr>
          <w:p w14:paraId="6AE804ED" w14:textId="77777777" w:rsidR="00CE15D7" w:rsidRPr="007504E6" w:rsidRDefault="00CE15D7" w:rsidP="00B9247E">
            <w:pPr>
              <w:spacing w:line="276" w:lineRule="auto"/>
              <w:ind w:firstLine="0"/>
              <w:jc w:val="left"/>
              <w:rPr>
                <w:rFonts w:ascii="Times New Roman" w:eastAsia="Times New Roman" w:hAnsi="Times New Roman" w:cs="Times New Roman"/>
                <w:color w:val="000000"/>
                <w:lang w:val="en-GB" w:eastAsia="lv-LV"/>
              </w:rPr>
            </w:pPr>
            <w:r w:rsidRPr="007504E6">
              <w:rPr>
                <w:rFonts w:ascii="Times New Roman" w:eastAsia="Times New Roman" w:hAnsi="Times New Roman" w:cs="Times New Roman"/>
                <w:color w:val="000000"/>
                <w:lang w:val="en-GB" w:eastAsia="lv-LV"/>
              </w:rPr>
              <w:t> </w:t>
            </w:r>
          </w:p>
        </w:tc>
        <w:tc>
          <w:tcPr>
            <w:tcW w:w="714" w:type="dxa"/>
            <w:gridSpan w:val="2"/>
            <w:tcBorders>
              <w:bottom w:val="single" w:sz="4" w:space="0" w:color="BFBFBF" w:themeColor="background1" w:themeShade="BF"/>
            </w:tcBorders>
            <w:noWrap/>
            <w:vAlign w:val="center"/>
            <w:hideMark/>
          </w:tcPr>
          <w:p w14:paraId="6211F30E" w14:textId="369F1514" w:rsidR="00CE15D7" w:rsidRPr="007504E6" w:rsidRDefault="00CE15D7" w:rsidP="00791BF7">
            <w:pPr>
              <w:spacing w:line="276" w:lineRule="auto"/>
              <w:ind w:firstLine="0"/>
              <w:jc w:val="center"/>
              <w:rPr>
                <w:rFonts w:ascii="Times New Roman" w:eastAsia="Times New Roman" w:hAnsi="Times New Roman" w:cs="Times New Roman"/>
                <w:color w:val="000000"/>
                <w:lang w:val="en-GB" w:eastAsia="lv-LV"/>
              </w:rPr>
            </w:pPr>
            <w:r w:rsidRPr="007504E6">
              <w:rPr>
                <w:rFonts w:ascii="Times New Roman" w:eastAsia="Times New Roman" w:hAnsi="Times New Roman" w:cs="Times New Roman"/>
                <w:color w:val="000000"/>
                <w:lang w:val="en-GB" w:eastAsia="lv-LV"/>
              </w:rPr>
              <w:t>2021</w:t>
            </w:r>
          </w:p>
        </w:tc>
        <w:tc>
          <w:tcPr>
            <w:tcW w:w="858" w:type="dxa"/>
            <w:tcBorders>
              <w:bottom w:val="single" w:sz="4" w:space="0" w:color="BFBFBF" w:themeColor="background1" w:themeShade="BF"/>
            </w:tcBorders>
            <w:noWrap/>
            <w:vAlign w:val="center"/>
            <w:hideMark/>
          </w:tcPr>
          <w:p w14:paraId="65A63CC5" w14:textId="0FF8807A" w:rsidR="00CE15D7" w:rsidRPr="007504E6" w:rsidRDefault="00CE15D7" w:rsidP="00791BF7">
            <w:pPr>
              <w:spacing w:line="276" w:lineRule="auto"/>
              <w:ind w:firstLine="0"/>
              <w:jc w:val="center"/>
              <w:rPr>
                <w:rFonts w:ascii="Times New Roman" w:eastAsia="Times New Roman" w:hAnsi="Times New Roman" w:cs="Times New Roman"/>
                <w:color w:val="000000"/>
                <w:lang w:val="en-GB" w:eastAsia="lv-LV"/>
              </w:rPr>
            </w:pPr>
            <w:r w:rsidRPr="007504E6">
              <w:rPr>
                <w:rFonts w:ascii="Times New Roman" w:eastAsia="Times New Roman" w:hAnsi="Times New Roman" w:cs="Times New Roman"/>
                <w:color w:val="000000"/>
                <w:lang w:val="en-GB" w:eastAsia="lv-LV"/>
              </w:rPr>
              <w:t>2022</w:t>
            </w:r>
          </w:p>
        </w:tc>
        <w:tc>
          <w:tcPr>
            <w:tcW w:w="857" w:type="dxa"/>
            <w:tcBorders>
              <w:bottom w:val="single" w:sz="4" w:space="0" w:color="BFBFBF" w:themeColor="background1" w:themeShade="BF"/>
            </w:tcBorders>
            <w:noWrap/>
            <w:vAlign w:val="center"/>
            <w:hideMark/>
          </w:tcPr>
          <w:p w14:paraId="357645DB" w14:textId="4B65847D" w:rsidR="00CE15D7" w:rsidRPr="007504E6" w:rsidRDefault="00CE15D7" w:rsidP="00791BF7">
            <w:pPr>
              <w:spacing w:line="276" w:lineRule="auto"/>
              <w:ind w:firstLine="0"/>
              <w:jc w:val="center"/>
              <w:rPr>
                <w:rFonts w:ascii="Times New Roman" w:eastAsia="Times New Roman" w:hAnsi="Times New Roman" w:cs="Times New Roman"/>
                <w:color w:val="000000"/>
                <w:lang w:val="en-GB" w:eastAsia="lv-LV"/>
              </w:rPr>
            </w:pPr>
            <w:r w:rsidRPr="007504E6">
              <w:rPr>
                <w:rFonts w:ascii="Times New Roman" w:eastAsia="Times New Roman" w:hAnsi="Times New Roman" w:cs="Times New Roman"/>
                <w:color w:val="000000"/>
                <w:lang w:val="en-GB" w:eastAsia="lv-LV"/>
              </w:rPr>
              <w:t>2023</w:t>
            </w:r>
          </w:p>
        </w:tc>
        <w:tc>
          <w:tcPr>
            <w:tcW w:w="857" w:type="dxa"/>
            <w:gridSpan w:val="3"/>
            <w:tcBorders>
              <w:bottom w:val="single" w:sz="4" w:space="0" w:color="BFBFBF" w:themeColor="background1" w:themeShade="BF"/>
            </w:tcBorders>
            <w:noWrap/>
            <w:vAlign w:val="center"/>
            <w:hideMark/>
          </w:tcPr>
          <w:p w14:paraId="1562B8CE" w14:textId="109883C8" w:rsidR="00CE15D7" w:rsidRPr="007504E6" w:rsidRDefault="00CE15D7" w:rsidP="00791BF7">
            <w:pPr>
              <w:spacing w:line="276" w:lineRule="auto"/>
              <w:ind w:firstLine="0"/>
              <w:jc w:val="center"/>
              <w:rPr>
                <w:rFonts w:ascii="Times New Roman" w:eastAsia="Times New Roman" w:hAnsi="Times New Roman" w:cs="Times New Roman"/>
                <w:color w:val="000000"/>
                <w:lang w:val="en-GB" w:eastAsia="lv-LV"/>
              </w:rPr>
            </w:pPr>
            <w:r w:rsidRPr="007504E6">
              <w:rPr>
                <w:rFonts w:ascii="Times New Roman" w:eastAsia="Times New Roman" w:hAnsi="Times New Roman" w:cs="Times New Roman"/>
                <w:color w:val="000000"/>
                <w:lang w:val="en-GB" w:eastAsia="lv-LV"/>
              </w:rPr>
              <w:t>2024</w:t>
            </w:r>
          </w:p>
        </w:tc>
        <w:tc>
          <w:tcPr>
            <w:tcW w:w="825" w:type="dxa"/>
            <w:tcBorders>
              <w:bottom w:val="single" w:sz="4" w:space="0" w:color="BFBFBF" w:themeColor="background1" w:themeShade="BF"/>
            </w:tcBorders>
            <w:noWrap/>
            <w:vAlign w:val="center"/>
            <w:hideMark/>
          </w:tcPr>
          <w:p w14:paraId="07586CF0" w14:textId="4604575D" w:rsidR="00CE15D7" w:rsidRPr="007504E6" w:rsidRDefault="00CE15D7" w:rsidP="00791BF7">
            <w:pPr>
              <w:spacing w:line="276" w:lineRule="auto"/>
              <w:ind w:firstLine="0"/>
              <w:jc w:val="center"/>
              <w:rPr>
                <w:rFonts w:ascii="Times New Roman" w:eastAsia="Times New Roman" w:hAnsi="Times New Roman" w:cs="Times New Roman"/>
                <w:color w:val="000000"/>
                <w:lang w:val="en-GB" w:eastAsia="lv-LV"/>
              </w:rPr>
            </w:pPr>
            <w:r w:rsidRPr="007504E6">
              <w:rPr>
                <w:rFonts w:ascii="Times New Roman" w:eastAsia="Times New Roman" w:hAnsi="Times New Roman" w:cs="Times New Roman"/>
                <w:color w:val="000000"/>
                <w:lang w:val="en-GB" w:eastAsia="lv-LV"/>
              </w:rPr>
              <w:t>2025</w:t>
            </w:r>
          </w:p>
        </w:tc>
        <w:tc>
          <w:tcPr>
            <w:tcW w:w="1275" w:type="dxa"/>
            <w:tcBorders>
              <w:bottom w:val="single" w:sz="4" w:space="0" w:color="BFBFBF" w:themeColor="background1" w:themeShade="BF"/>
            </w:tcBorders>
            <w:vAlign w:val="center"/>
          </w:tcPr>
          <w:p w14:paraId="79CCAB69" w14:textId="557700B4" w:rsidR="00CE15D7" w:rsidRPr="007504E6" w:rsidRDefault="009D723F" w:rsidP="00791BF7">
            <w:pPr>
              <w:spacing w:line="276" w:lineRule="auto"/>
              <w:ind w:firstLine="0"/>
              <w:jc w:val="center"/>
              <w:rPr>
                <w:rFonts w:ascii="Times New Roman" w:eastAsia="Times New Roman" w:hAnsi="Times New Roman" w:cs="Times New Roman"/>
                <w:color w:val="000000"/>
                <w:lang w:val="en-GB" w:eastAsia="lv-LV"/>
              </w:rPr>
            </w:pPr>
            <w:r w:rsidRPr="007504E6">
              <w:rPr>
                <w:rFonts w:ascii="Times New Roman" w:eastAsia="Times New Roman" w:hAnsi="Times New Roman" w:cs="Times New Roman"/>
                <w:color w:val="000000"/>
                <w:lang w:val="en-GB" w:eastAsia="lv-LV"/>
              </w:rPr>
              <w:t>Average per year</w:t>
            </w:r>
          </w:p>
        </w:tc>
      </w:tr>
      <w:tr w:rsidR="007031BD" w:rsidRPr="007504E6" w14:paraId="20DC8BAA" w14:textId="1CA3EF9E" w:rsidTr="00791BF7">
        <w:trPr>
          <w:trHeight w:val="288"/>
        </w:trPr>
        <w:tc>
          <w:tcPr>
            <w:tcW w:w="36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60D8FDC" w14:textId="7B4BC68E" w:rsidR="007031BD" w:rsidRPr="007504E6" w:rsidRDefault="007031BD" w:rsidP="007031BD">
            <w:pPr>
              <w:spacing w:line="276" w:lineRule="auto"/>
              <w:ind w:firstLine="0"/>
              <w:jc w:val="left"/>
              <w:rPr>
                <w:rFonts w:ascii="Times New Roman" w:eastAsia="Times New Roman" w:hAnsi="Times New Roman" w:cs="Times New Roman"/>
                <w:color w:val="000000"/>
                <w:lang w:val="en-GB" w:eastAsia="lv-LV"/>
              </w:rPr>
            </w:pPr>
            <w:r w:rsidRPr="007504E6">
              <w:rPr>
                <w:szCs w:val="20"/>
                <w:lang w:val="en-GB"/>
              </w:rPr>
              <w:t xml:space="preserve">Changes in the </w:t>
            </w:r>
            <w:r w:rsidR="00FB7E4C" w:rsidRPr="007504E6">
              <w:rPr>
                <w:szCs w:val="20"/>
                <w:lang w:val="en-GB"/>
              </w:rPr>
              <w:t>construction costs</w:t>
            </w:r>
            <w:r w:rsidRPr="007504E6">
              <w:rPr>
                <w:szCs w:val="20"/>
                <w:lang w:val="en-GB"/>
              </w:rPr>
              <w:t xml:space="preserve"> of residential buildings</w:t>
            </w:r>
          </w:p>
        </w:tc>
        <w:tc>
          <w:tcPr>
            <w:tcW w:w="7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noWrap/>
            <w:vAlign w:val="center"/>
            <w:hideMark/>
          </w:tcPr>
          <w:p w14:paraId="6154C642" w14:textId="5D2663FB" w:rsidR="007031BD" w:rsidRPr="007504E6" w:rsidRDefault="007031BD" w:rsidP="00791BF7">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11.6</w:t>
            </w:r>
          </w:p>
        </w:tc>
        <w:tc>
          <w:tcPr>
            <w:tcW w:w="858" w:type="dxa"/>
            <w:tcBorders>
              <w:top w:val="single" w:sz="4" w:space="0" w:color="BFBFBF" w:themeColor="background1" w:themeShade="BF"/>
              <w:bottom w:val="single" w:sz="4" w:space="0" w:color="BFBFBF" w:themeColor="background1" w:themeShade="BF"/>
            </w:tcBorders>
            <w:noWrap/>
            <w:vAlign w:val="center"/>
            <w:hideMark/>
          </w:tcPr>
          <w:p w14:paraId="0C46BBEE" w14:textId="50E03282" w:rsidR="007031BD" w:rsidRPr="007504E6" w:rsidRDefault="007031BD" w:rsidP="00791BF7">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6.7</w:t>
            </w:r>
          </w:p>
        </w:tc>
        <w:tc>
          <w:tcPr>
            <w:tcW w:w="857" w:type="dxa"/>
            <w:tcBorders>
              <w:top w:val="single" w:sz="4" w:space="0" w:color="BFBFBF" w:themeColor="background1" w:themeShade="BF"/>
              <w:bottom w:val="single" w:sz="4" w:space="0" w:color="BFBFBF" w:themeColor="background1" w:themeShade="BF"/>
            </w:tcBorders>
            <w:noWrap/>
            <w:vAlign w:val="center"/>
            <w:hideMark/>
          </w:tcPr>
          <w:p w14:paraId="10A446CC" w14:textId="1488CA6C" w:rsidR="007031BD" w:rsidRPr="007504E6" w:rsidRDefault="007031BD" w:rsidP="00791BF7">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5.5</w:t>
            </w:r>
          </w:p>
        </w:tc>
        <w:tc>
          <w:tcPr>
            <w:tcW w:w="857" w:type="dxa"/>
            <w:gridSpan w:val="3"/>
            <w:tcBorders>
              <w:top w:val="single" w:sz="4" w:space="0" w:color="BFBFBF" w:themeColor="background1" w:themeShade="BF"/>
              <w:bottom w:val="single" w:sz="4" w:space="0" w:color="BFBFBF" w:themeColor="background1" w:themeShade="BF"/>
            </w:tcBorders>
            <w:noWrap/>
            <w:vAlign w:val="center"/>
            <w:hideMark/>
          </w:tcPr>
          <w:p w14:paraId="093CAF78" w14:textId="105ECFEE" w:rsidR="007031BD" w:rsidRPr="007504E6" w:rsidRDefault="007031BD" w:rsidP="00791BF7">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4.8</w:t>
            </w:r>
          </w:p>
        </w:tc>
        <w:tc>
          <w:tcPr>
            <w:tcW w:w="825" w:type="dxa"/>
            <w:tcBorders>
              <w:top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78243A46" w14:textId="7646BCAA" w:rsidR="007031BD" w:rsidRPr="007504E6" w:rsidRDefault="007031BD" w:rsidP="00791BF7">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8.6</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82C4F4C" w14:textId="05FEDC92" w:rsidR="007031BD" w:rsidRPr="007504E6" w:rsidRDefault="007031BD" w:rsidP="00791BF7">
            <w:pPr>
              <w:spacing w:line="276" w:lineRule="auto"/>
              <w:ind w:firstLine="0"/>
              <w:jc w:val="center"/>
              <w:rPr>
                <w:rFonts w:ascii="Times New Roman" w:hAnsi="Times New Roman" w:cs="Times New Roman"/>
                <w:color w:val="000000"/>
                <w:lang w:val="en-GB"/>
              </w:rPr>
            </w:pPr>
            <w:r w:rsidRPr="007504E6">
              <w:rPr>
                <w:szCs w:val="20"/>
                <w:lang w:val="en-GB"/>
              </w:rPr>
              <w:t>7.4</w:t>
            </w:r>
          </w:p>
        </w:tc>
      </w:tr>
      <w:tr w:rsidR="007031BD" w:rsidRPr="007504E6" w14:paraId="3CD8612C" w14:textId="104BE931" w:rsidTr="00791BF7">
        <w:trPr>
          <w:trHeight w:val="288"/>
        </w:trPr>
        <w:tc>
          <w:tcPr>
            <w:tcW w:w="36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7E6B287" w14:textId="2FE6545E" w:rsidR="007031BD" w:rsidRPr="007504E6" w:rsidRDefault="007031BD" w:rsidP="007031BD">
            <w:pPr>
              <w:spacing w:line="276" w:lineRule="auto"/>
              <w:ind w:firstLine="0"/>
              <w:jc w:val="left"/>
              <w:rPr>
                <w:rFonts w:ascii="Times New Roman" w:eastAsia="Times New Roman" w:hAnsi="Times New Roman" w:cs="Times New Roman"/>
                <w:color w:val="000000"/>
                <w:lang w:val="en-GB" w:eastAsia="lv-LV"/>
              </w:rPr>
            </w:pPr>
            <w:r w:rsidRPr="007504E6">
              <w:rPr>
                <w:szCs w:val="20"/>
                <w:lang w:val="en-GB"/>
              </w:rPr>
              <w:t xml:space="preserve">Changes in the </w:t>
            </w:r>
            <w:r w:rsidR="00FB7E4C" w:rsidRPr="007504E6">
              <w:rPr>
                <w:szCs w:val="20"/>
                <w:lang w:val="en-GB"/>
              </w:rPr>
              <w:t>construction costs</w:t>
            </w:r>
            <w:r w:rsidRPr="007504E6">
              <w:rPr>
                <w:szCs w:val="20"/>
                <w:lang w:val="en-GB"/>
              </w:rPr>
              <w:t xml:space="preserve"> of non - residential buildings</w:t>
            </w:r>
          </w:p>
        </w:tc>
        <w:tc>
          <w:tcPr>
            <w:tcW w:w="7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noWrap/>
            <w:vAlign w:val="center"/>
            <w:hideMark/>
          </w:tcPr>
          <w:p w14:paraId="785BC09A" w14:textId="1D2739B4" w:rsidR="007031BD" w:rsidRPr="007504E6" w:rsidRDefault="007031BD" w:rsidP="00791BF7">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11.6</w:t>
            </w:r>
          </w:p>
        </w:tc>
        <w:tc>
          <w:tcPr>
            <w:tcW w:w="858" w:type="dxa"/>
            <w:tcBorders>
              <w:top w:val="single" w:sz="4" w:space="0" w:color="BFBFBF" w:themeColor="background1" w:themeShade="BF"/>
              <w:bottom w:val="single" w:sz="4" w:space="0" w:color="BFBFBF" w:themeColor="background1" w:themeShade="BF"/>
            </w:tcBorders>
            <w:noWrap/>
            <w:vAlign w:val="center"/>
            <w:hideMark/>
          </w:tcPr>
          <w:p w14:paraId="72F8D2CC" w14:textId="3B7379A8" w:rsidR="007031BD" w:rsidRPr="007504E6" w:rsidRDefault="007031BD" w:rsidP="00791BF7">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6.6</w:t>
            </w:r>
          </w:p>
        </w:tc>
        <w:tc>
          <w:tcPr>
            <w:tcW w:w="857" w:type="dxa"/>
            <w:tcBorders>
              <w:top w:val="single" w:sz="4" w:space="0" w:color="BFBFBF" w:themeColor="background1" w:themeShade="BF"/>
              <w:bottom w:val="single" w:sz="4" w:space="0" w:color="BFBFBF" w:themeColor="background1" w:themeShade="BF"/>
            </w:tcBorders>
            <w:noWrap/>
            <w:vAlign w:val="center"/>
            <w:hideMark/>
          </w:tcPr>
          <w:p w14:paraId="4EBBC9E1" w14:textId="53543B00" w:rsidR="007031BD" w:rsidRPr="007504E6" w:rsidRDefault="007031BD" w:rsidP="00791BF7">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5.0</w:t>
            </w:r>
          </w:p>
        </w:tc>
        <w:tc>
          <w:tcPr>
            <w:tcW w:w="857" w:type="dxa"/>
            <w:gridSpan w:val="3"/>
            <w:tcBorders>
              <w:top w:val="single" w:sz="4" w:space="0" w:color="BFBFBF" w:themeColor="background1" w:themeShade="BF"/>
              <w:bottom w:val="single" w:sz="4" w:space="0" w:color="BFBFBF" w:themeColor="background1" w:themeShade="BF"/>
            </w:tcBorders>
            <w:noWrap/>
            <w:vAlign w:val="center"/>
            <w:hideMark/>
          </w:tcPr>
          <w:p w14:paraId="153C9AA0" w14:textId="797FC91C" w:rsidR="007031BD" w:rsidRPr="007504E6" w:rsidRDefault="007031BD" w:rsidP="00791BF7">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4.4</w:t>
            </w:r>
          </w:p>
        </w:tc>
        <w:tc>
          <w:tcPr>
            <w:tcW w:w="825" w:type="dxa"/>
            <w:tcBorders>
              <w:top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104B674" w14:textId="304C9D63" w:rsidR="007031BD" w:rsidRPr="007504E6" w:rsidRDefault="007031BD" w:rsidP="00791BF7">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8.2</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B3DB1C6" w14:textId="2C4ACAC8" w:rsidR="007031BD" w:rsidRPr="007504E6" w:rsidRDefault="007031BD" w:rsidP="00791BF7">
            <w:pPr>
              <w:spacing w:line="276" w:lineRule="auto"/>
              <w:ind w:firstLine="0"/>
              <w:jc w:val="center"/>
              <w:rPr>
                <w:rFonts w:ascii="Times New Roman" w:hAnsi="Times New Roman" w:cs="Times New Roman"/>
                <w:color w:val="000000"/>
                <w:lang w:val="en-GB"/>
              </w:rPr>
            </w:pPr>
            <w:r w:rsidRPr="007504E6">
              <w:rPr>
                <w:szCs w:val="20"/>
                <w:lang w:val="en-GB"/>
              </w:rPr>
              <w:t>7.1</w:t>
            </w:r>
          </w:p>
        </w:tc>
      </w:tr>
      <w:tr w:rsidR="007031BD" w:rsidRPr="007504E6" w14:paraId="71D4DC9C" w14:textId="6094690A" w:rsidTr="00791BF7">
        <w:trPr>
          <w:trHeight w:val="288"/>
        </w:trPr>
        <w:tc>
          <w:tcPr>
            <w:tcW w:w="36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414B770" w14:textId="01AE9A0E" w:rsidR="007031BD" w:rsidRPr="007504E6" w:rsidRDefault="007031BD" w:rsidP="007031BD">
            <w:pPr>
              <w:spacing w:line="276" w:lineRule="auto"/>
              <w:ind w:firstLine="0"/>
              <w:jc w:val="left"/>
              <w:rPr>
                <w:rFonts w:ascii="Times New Roman" w:eastAsia="Times New Roman" w:hAnsi="Times New Roman" w:cs="Times New Roman"/>
                <w:color w:val="000000"/>
                <w:lang w:val="en-GB" w:eastAsia="lv-LV"/>
              </w:rPr>
            </w:pPr>
            <w:r w:rsidRPr="007504E6">
              <w:rPr>
                <w:szCs w:val="20"/>
                <w:lang w:val="en-GB"/>
              </w:rPr>
              <w:t xml:space="preserve">Changes in the road and highway </w:t>
            </w:r>
            <w:r w:rsidR="00FB7E4C" w:rsidRPr="007504E6">
              <w:rPr>
                <w:szCs w:val="20"/>
                <w:lang w:val="en-GB"/>
              </w:rPr>
              <w:t>construction costs</w:t>
            </w:r>
          </w:p>
        </w:tc>
        <w:tc>
          <w:tcPr>
            <w:tcW w:w="7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noWrap/>
            <w:vAlign w:val="center"/>
            <w:hideMark/>
          </w:tcPr>
          <w:p w14:paraId="39CE3774" w14:textId="2D4D1183" w:rsidR="007031BD" w:rsidRPr="007504E6" w:rsidRDefault="007031BD" w:rsidP="00791BF7">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10.0</w:t>
            </w:r>
          </w:p>
        </w:tc>
        <w:tc>
          <w:tcPr>
            <w:tcW w:w="858" w:type="dxa"/>
            <w:tcBorders>
              <w:top w:val="single" w:sz="4" w:space="0" w:color="BFBFBF" w:themeColor="background1" w:themeShade="BF"/>
              <w:bottom w:val="single" w:sz="4" w:space="0" w:color="BFBFBF" w:themeColor="background1" w:themeShade="BF"/>
            </w:tcBorders>
            <w:noWrap/>
            <w:vAlign w:val="center"/>
            <w:hideMark/>
          </w:tcPr>
          <w:p w14:paraId="373228F8" w14:textId="69E2E7AE" w:rsidR="007031BD" w:rsidRPr="007504E6" w:rsidRDefault="007031BD" w:rsidP="00791BF7">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7.8</w:t>
            </w:r>
          </w:p>
        </w:tc>
        <w:tc>
          <w:tcPr>
            <w:tcW w:w="857" w:type="dxa"/>
            <w:tcBorders>
              <w:top w:val="single" w:sz="4" w:space="0" w:color="BFBFBF" w:themeColor="background1" w:themeShade="BF"/>
              <w:bottom w:val="single" w:sz="4" w:space="0" w:color="BFBFBF" w:themeColor="background1" w:themeShade="BF"/>
            </w:tcBorders>
            <w:noWrap/>
            <w:vAlign w:val="center"/>
            <w:hideMark/>
          </w:tcPr>
          <w:p w14:paraId="1A5A850B" w14:textId="434C42BE" w:rsidR="007031BD" w:rsidRPr="007504E6" w:rsidRDefault="007031BD" w:rsidP="00791BF7">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6.4</w:t>
            </w:r>
          </w:p>
        </w:tc>
        <w:tc>
          <w:tcPr>
            <w:tcW w:w="857" w:type="dxa"/>
            <w:gridSpan w:val="3"/>
            <w:tcBorders>
              <w:top w:val="single" w:sz="4" w:space="0" w:color="BFBFBF" w:themeColor="background1" w:themeShade="BF"/>
              <w:bottom w:val="single" w:sz="4" w:space="0" w:color="BFBFBF" w:themeColor="background1" w:themeShade="BF"/>
            </w:tcBorders>
            <w:noWrap/>
            <w:vAlign w:val="center"/>
            <w:hideMark/>
          </w:tcPr>
          <w:p w14:paraId="1DAEAD65" w14:textId="7CABCF51" w:rsidR="007031BD" w:rsidRPr="007504E6" w:rsidRDefault="007031BD" w:rsidP="00791BF7">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7.6</w:t>
            </w:r>
          </w:p>
        </w:tc>
        <w:tc>
          <w:tcPr>
            <w:tcW w:w="825" w:type="dxa"/>
            <w:tcBorders>
              <w:top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13ED096" w14:textId="58EF3EB8" w:rsidR="007031BD" w:rsidRPr="007504E6" w:rsidRDefault="007031BD" w:rsidP="00791BF7">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6.8</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8E9D0B" w14:textId="30A407ED" w:rsidR="007031BD" w:rsidRPr="007504E6" w:rsidRDefault="007031BD" w:rsidP="00791BF7">
            <w:pPr>
              <w:spacing w:line="276" w:lineRule="auto"/>
              <w:ind w:firstLine="0"/>
              <w:jc w:val="center"/>
              <w:rPr>
                <w:rFonts w:ascii="Times New Roman" w:hAnsi="Times New Roman" w:cs="Times New Roman"/>
                <w:color w:val="000000"/>
                <w:lang w:val="en-GB"/>
              </w:rPr>
            </w:pPr>
            <w:r w:rsidRPr="007504E6">
              <w:rPr>
                <w:szCs w:val="20"/>
                <w:lang w:val="en-GB"/>
              </w:rPr>
              <w:t>7.7</w:t>
            </w:r>
          </w:p>
        </w:tc>
      </w:tr>
      <w:tr w:rsidR="007031BD" w:rsidRPr="007504E6" w14:paraId="3F74D335" w14:textId="6F1F0EB1" w:rsidTr="00791BF7">
        <w:trPr>
          <w:trHeight w:val="288"/>
        </w:trPr>
        <w:tc>
          <w:tcPr>
            <w:tcW w:w="36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E204FE0" w14:textId="0F2FC89D" w:rsidR="007031BD" w:rsidRPr="007504E6" w:rsidRDefault="007031BD" w:rsidP="007031BD">
            <w:pPr>
              <w:spacing w:line="276" w:lineRule="auto"/>
              <w:ind w:firstLine="0"/>
              <w:jc w:val="left"/>
              <w:rPr>
                <w:rFonts w:ascii="Times New Roman" w:eastAsia="Times New Roman" w:hAnsi="Times New Roman" w:cs="Times New Roman"/>
                <w:color w:val="000000"/>
                <w:lang w:val="en-GB" w:eastAsia="lv-LV"/>
              </w:rPr>
            </w:pPr>
            <w:r w:rsidRPr="007504E6">
              <w:rPr>
                <w:szCs w:val="20"/>
                <w:lang w:val="en-GB"/>
              </w:rPr>
              <w:t xml:space="preserve">Changes in the railway and metro </w:t>
            </w:r>
            <w:r w:rsidR="00FB7E4C" w:rsidRPr="007504E6">
              <w:rPr>
                <w:szCs w:val="20"/>
                <w:lang w:val="en-GB"/>
              </w:rPr>
              <w:t>construction costs</w:t>
            </w:r>
          </w:p>
        </w:tc>
        <w:tc>
          <w:tcPr>
            <w:tcW w:w="7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noWrap/>
            <w:vAlign w:val="center"/>
            <w:hideMark/>
          </w:tcPr>
          <w:p w14:paraId="08A4F9F4" w14:textId="6BB96095" w:rsidR="007031BD" w:rsidRPr="007504E6" w:rsidRDefault="007031BD" w:rsidP="00791BF7">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11.3</w:t>
            </w:r>
          </w:p>
        </w:tc>
        <w:tc>
          <w:tcPr>
            <w:tcW w:w="858" w:type="dxa"/>
            <w:tcBorders>
              <w:top w:val="single" w:sz="4" w:space="0" w:color="BFBFBF" w:themeColor="background1" w:themeShade="BF"/>
              <w:bottom w:val="single" w:sz="4" w:space="0" w:color="BFBFBF" w:themeColor="background1" w:themeShade="BF"/>
            </w:tcBorders>
            <w:noWrap/>
            <w:vAlign w:val="center"/>
            <w:hideMark/>
          </w:tcPr>
          <w:p w14:paraId="3C15B43F" w14:textId="40C5ECD3" w:rsidR="007031BD" w:rsidRPr="007504E6" w:rsidRDefault="007031BD" w:rsidP="00791BF7">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11.0</w:t>
            </w:r>
          </w:p>
        </w:tc>
        <w:tc>
          <w:tcPr>
            <w:tcW w:w="857" w:type="dxa"/>
            <w:tcBorders>
              <w:top w:val="single" w:sz="4" w:space="0" w:color="BFBFBF" w:themeColor="background1" w:themeShade="BF"/>
              <w:bottom w:val="single" w:sz="4" w:space="0" w:color="BFBFBF" w:themeColor="background1" w:themeShade="BF"/>
            </w:tcBorders>
            <w:noWrap/>
            <w:vAlign w:val="center"/>
            <w:hideMark/>
          </w:tcPr>
          <w:p w14:paraId="27B0ADFA" w14:textId="1FE817E9" w:rsidR="007031BD" w:rsidRPr="007504E6" w:rsidRDefault="007031BD" w:rsidP="00791BF7">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12.8</w:t>
            </w:r>
          </w:p>
        </w:tc>
        <w:tc>
          <w:tcPr>
            <w:tcW w:w="857" w:type="dxa"/>
            <w:gridSpan w:val="3"/>
            <w:tcBorders>
              <w:top w:val="single" w:sz="4" w:space="0" w:color="BFBFBF" w:themeColor="background1" w:themeShade="BF"/>
              <w:bottom w:val="single" w:sz="4" w:space="0" w:color="BFBFBF" w:themeColor="background1" w:themeShade="BF"/>
            </w:tcBorders>
            <w:noWrap/>
            <w:vAlign w:val="center"/>
            <w:hideMark/>
          </w:tcPr>
          <w:p w14:paraId="400F2889" w14:textId="1BBF0F2B" w:rsidR="007031BD" w:rsidRPr="007504E6" w:rsidRDefault="007031BD" w:rsidP="00791BF7">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15.3</w:t>
            </w:r>
          </w:p>
        </w:tc>
        <w:tc>
          <w:tcPr>
            <w:tcW w:w="825" w:type="dxa"/>
            <w:tcBorders>
              <w:top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2092EC02" w14:textId="54787C23" w:rsidR="007031BD" w:rsidRPr="007504E6" w:rsidRDefault="007031BD" w:rsidP="00791BF7">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15.3</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5837D09" w14:textId="69FFD20A" w:rsidR="007031BD" w:rsidRPr="007504E6" w:rsidRDefault="007031BD" w:rsidP="00791BF7">
            <w:pPr>
              <w:spacing w:line="276" w:lineRule="auto"/>
              <w:ind w:firstLine="0"/>
              <w:jc w:val="center"/>
              <w:rPr>
                <w:rFonts w:ascii="Times New Roman" w:hAnsi="Times New Roman" w:cs="Times New Roman"/>
                <w:color w:val="000000"/>
                <w:lang w:val="en-GB"/>
              </w:rPr>
            </w:pPr>
            <w:r w:rsidRPr="007504E6">
              <w:rPr>
                <w:szCs w:val="20"/>
                <w:lang w:val="en-GB"/>
              </w:rPr>
              <w:t>13.1</w:t>
            </w:r>
          </w:p>
        </w:tc>
      </w:tr>
      <w:tr w:rsidR="007031BD" w:rsidRPr="007504E6" w14:paraId="06640911" w14:textId="2369E700" w:rsidTr="00791BF7">
        <w:trPr>
          <w:trHeight w:val="288"/>
        </w:trPr>
        <w:tc>
          <w:tcPr>
            <w:tcW w:w="36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FD760DB" w14:textId="03B187CB" w:rsidR="007031BD" w:rsidRPr="007504E6" w:rsidRDefault="007031BD" w:rsidP="007031BD">
            <w:pPr>
              <w:spacing w:line="276" w:lineRule="auto"/>
              <w:ind w:firstLine="0"/>
              <w:jc w:val="left"/>
              <w:rPr>
                <w:rFonts w:ascii="Times New Roman" w:eastAsia="Times New Roman" w:hAnsi="Times New Roman" w:cs="Times New Roman"/>
                <w:color w:val="000000"/>
                <w:lang w:val="en-GB" w:eastAsia="lv-LV"/>
              </w:rPr>
            </w:pPr>
            <w:r w:rsidRPr="007504E6">
              <w:rPr>
                <w:szCs w:val="20"/>
                <w:lang w:val="en-GB"/>
              </w:rPr>
              <w:t xml:space="preserve">Changes in the bridge and tunnel </w:t>
            </w:r>
            <w:r w:rsidR="00FB7E4C" w:rsidRPr="007504E6">
              <w:rPr>
                <w:szCs w:val="20"/>
                <w:lang w:val="en-GB"/>
              </w:rPr>
              <w:t>construction costs</w:t>
            </w:r>
          </w:p>
        </w:tc>
        <w:tc>
          <w:tcPr>
            <w:tcW w:w="7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noWrap/>
            <w:vAlign w:val="center"/>
            <w:hideMark/>
          </w:tcPr>
          <w:p w14:paraId="04ABB224" w14:textId="0F6568EE" w:rsidR="007031BD" w:rsidRPr="007504E6" w:rsidRDefault="007031BD" w:rsidP="00791BF7">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4.0</w:t>
            </w:r>
          </w:p>
        </w:tc>
        <w:tc>
          <w:tcPr>
            <w:tcW w:w="858" w:type="dxa"/>
            <w:tcBorders>
              <w:top w:val="single" w:sz="4" w:space="0" w:color="BFBFBF" w:themeColor="background1" w:themeShade="BF"/>
              <w:bottom w:val="single" w:sz="4" w:space="0" w:color="BFBFBF" w:themeColor="background1" w:themeShade="BF"/>
            </w:tcBorders>
            <w:noWrap/>
            <w:vAlign w:val="center"/>
            <w:hideMark/>
          </w:tcPr>
          <w:p w14:paraId="49DDB6DD" w14:textId="382200E6" w:rsidR="007031BD" w:rsidRPr="007504E6" w:rsidRDefault="007031BD" w:rsidP="00791BF7">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12.0</w:t>
            </w:r>
          </w:p>
        </w:tc>
        <w:tc>
          <w:tcPr>
            <w:tcW w:w="857" w:type="dxa"/>
            <w:tcBorders>
              <w:top w:val="single" w:sz="4" w:space="0" w:color="BFBFBF" w:themeColor="background1" w:themeShade="BF"/>
              <w:bottom w:val="single" w:sz="4" w:space="0" w:color="BFBFBF" w:themeColor="background1" w:themeShade="BF"/>
            </w:tcBorders>
            <w:noWrap/>
            <w:vAlign w:val="center"/>
            <w:hideMark/>
          </w:tcPr>
          <w:p w14:paraId="59BD276E" w14:textId="2F7CF06C" w:rsidR="007031BD" w:rsidRPr="007504E6" w:rsidRDefault="007031BD" w:rsidP="00791BF7">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14.3</w:t>
            </w:r>
          </w:p>
        </w:tc>
        <w:tc>
          <w:tcPr>
            <w:tcW w:w="857" w:type="dxa"/>
            <w:gridSpan w:val="3"/>
            <w:tcBorders>
              <w:top w:val="single" w:sz="4" w:space="0" w:color="BFBFBF" w:themeColor="background1" w:themeShade="BF"/>
              <w:bottom w:val="single" w:sz="4" w:space="0" w:color="BFBFBF" w:themeColor="background1" w:themeShade="BF"/>
            </w:tcBorders>
            <w:noWrap/>
            <w:vAlign w:val="center"/>
            <w:hideMark/>
          </w:tcPr>
          <w:p w14:paraId="489E9D6C" w14:textId="59BEC522" w:rsidR="007031BD" w:rsidRPr="007504E6" w:rsidRDefault="007031BD" w:rsidP="00791BF7">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15.5</w:t>
            </w:r>
          </w:p>
        </w:tc>
        <w:tc>
          <w:tcPr>
            <w:tcW w:w="825" w:type="dxa"/>
            <w:tcBorders>
              <w:top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080A18BF" w14:textId="673CB840" w:rsidR="007031BD" w:rsidRPr="007504E6" w:rsidRDefault="007031BD" w:rsidP="00791BF7">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13.0</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0CFB3FB" w14:textId="74D7829D" w:rsidR="007031BD" w:rsidRPr="007504E6" w:rsidRDefault="007031BD" w:rsidP="00791BF7">
            <w:pPr>
              <w:spacing w:line="276" w:lineRule="auto"/>
              <w:ind w:firstLine="0"/>
              <w:jc w:val="center"/>
              <w:rPr>
                <w:rFonts w:ascii="Times New Roman" w:hAnsi="Times New Roman" w:cs="Times New Roman"/>
                <w:color w:val="000000"/>
                <w:lang w:val="en-GB"/>
              </w:rPr>
            </w:pPr>
            <w:r w:rsidRPr="007504E6">
              <w:rPr>
                <w:szCs w:val="20"/>
                <w:lang w:val="en-GB"/>
              </w:rPr>
              <w:t>11.7</w:t>
            </w:r>
          </w:p>
        </w:tc>
      </w:tr>
      <w:tr w:rsidR="007031BD" w:rsidRPr="007504E6" w14:paraId="098CCE33" w14:textId="5FE2A48B" w:rsidTr="00791BF7">
        <w:trPr>
          <w:trHeight w:val="288"/>
        </w:trPr>
        <w:tc>
          <w:tcPr>
            <w:tcW w:w="36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6BC9510" w14:textId="2E8D4562" w:rsidR="007031BD" w:rsidRPr="007504E6" w:rsidRDefault="007031BD" w:rsidP="007031BD">
            <w:pPr>
              <w:spacing w:line="276" w:lineRule="auto"/>
              <w:ind w:firstLine="0"/>
              <w:jc w:val="left"/>
              <w:rPr>
                <w:rFonts w:ascii="Times New Roman" w:eastAsia="Times New Roman" w:hAnsi="Times New Roman" w:cs="Times New Roman"/>
                <w:color w:val="000000"/>
                <w:lang w:val="en-GB" w:eastAsia="lv-LV"/>
              </w:rPr>
            </w:pPr>
            <w:r w:rsidRPr="007504E6">
              <w:rPr>
                <w:szCs w:val="20"/>
                <w:lang w:val="en-GB"/>
              </w:rPr>
              <w:t xml:space="preserve">Changes in the </w:t>
            </w:r>
            <w:r w:rsidR="00FB7E4C" w:rsidRPr="007504E6">
              <w:rPr>
                <w:szCs w:val="20"/>
                <w:lang w:val="en-GB"/>
              </w:rPr>
              <w:t xml:space="preserve">construction costs </w:t>
            </w:r>
            <w:r w:rsidRPr="007504E6">
              <w:rPr>
                <w:szCs w:val="20"/>
                <w:lang w:val="en-GB"/>
              </w:rPr>
              <w:t>of urban infrastructure objects</w:t>
            </w:r>
          </w:p>
        </w:tc>
        <w:tc>
          <w:tcPr>
            <w:tcW w:w="7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noWrap/>
            <w:vAlign w:val="center"/>
            <w:hideMark/>
          </w:tcPr>
          <w:p w14:paraId="4BAF5004" w14:textId="7E6FF64A" w:rsidR="007031BD" w:rsidRPr="007504E6" w:rsidRDefault="007031BD" w:rsidP="00791BF7">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9.6</w:t>
            </w:r>
          </w:p>
        </w:tc>
        <w:tc>
          <w:tcPr>
            <w:tcW w:w="858" w:type="dxa"/>
            <w:tcBorders>
              <w:top w:val="single" w:sz="4" w:space="0" w:color="BFBFBF" w:themeColor="background1" w:themeShade="BF"/>
              <w:bottom w:val="single" w:sz="4" w:space="0" w:color="BFBFBF" w:themeColor="background1" w:themeShade="BF"/>
            </w:tcBorders>
            <w:noWrap/>
            <w:vAlign w:val="center"/>
            <w:hideMark/>
          </w:tcPr>
          <w:p w14:paraId="1F9D950D" w14:textId="7D0E9230" w:rsidR="007031BD" w:rsidRPr="007504E6" w:rsidRDefault="007031BD" w:rsidP="00791BF7">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8.6</w:t>
            </w:r>
          </w:p>
        </w:tc>
        <w:tc>
          <w:tcPr>
            <w:tcW w:w="857" w:type="dxa"/>
            <w:tcBorders>
              <w:top w:val="single" w:sz="4" w:space="0" w:color="BFBFBF" w:themeColor="background1" w:themeShade="BF"/>
              <w:bottom w:val="single" w:sz="4" w:space="0" w:color="BFBFBF" w:themeColor="background1" w:themeShade="BF"/>
            </w:tcBorders>
            <w:noWrap/>
            <w:vAlign w:val="center"/>
            <w:hideMark/>
          </w:tcPr>
          <w:p w14:paraId="7B6BE744" w14:textId="522F6690" w:rsidR="007031BD" w:rsidRPr="007504E6" w:rsidRDefault="007031BD" w:rsidP="00791BF7">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7.6</w:t>
            </w:r>
          </w:p>
        </w:tc>
        <w:tc>
          <w:tcPr>
            <w:tcW w:w="857" w:type="dxa"/>
            <w:gridSpan w:val="3"/>
            <w:tcBorders>
              <w:top w:val="single" w:sz="4" w:space="0" w:color="BFBFBF" w:themeColor="background1" w:themeShade="BF"/>
              <w:bottom w:val="single" w:sz="4" w:space="0" w:color="BFBFBF" w:themeColor="background1" w:themeShade="BF"/>
            </w:tcBorders>
            <w:noWrap/>
            <w:vAlign w:val="center"/>
            <w:hideMark/>
          </w:tcPr>
          <w:p w14:paraId="759409D8" w14:textId="319BDF48" w:rsidR="007031BD" w:rsidRPr="007504E6" w:rsidRDefault="007031BD" w:rsidP="00791BF7">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5.8</w:t>
            </w:r>
          </w:p>
        </w:tc>
        <w:tc>
          <w:tcPr>
            <w:tcW w:w="825" w:type="dxa"/>
            <w:tcBorders>
              <w:top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4B4AA445" w14:textId="5C09216E" w:rsidR="007031BD" w:rsidRPr="007504E6" w:rsidRDefault="007031BD" w:rsidP="00791BF7">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5.6</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CF475C" w14:textId="7046C524" w:rsidR="007031BD" w:rsidRPr="007504E6" w:rsidRDefault="007031BD" w:rsidP="00791BF7">
            <w:pPr>
              <w:spacing w:line="276" w:lineRule="auto"/>
              <w:ind w:firstLine="0"/>
              <w:jc w:val="center"/>
              <w:rPr>
                <w:rFonts w:ascii="Times New Roman" w:hAnsi="Times New Roman" w:cs="Times New Roman"/>
                <w:color w:val="000000"/>
                <w:lang w:val="en-GB"/>
              </w:rPr>
            </w:pPr>
            <w:r w:rsidRPr="007504E6">
              <w:rPr>
                <w:szCs w:val="20"/>
                <w:lang w:val="en-GB"/>
              </w:rPr>
              <w:t>7.4</w:t>
            </w:r>
          </w:p>
        </w:tc>
      </w:tr>
      <w:tr w:rsidR="007031BD" w:rsidRPr="007504E6" w14:paraId="11788646" w14:textId="3BE7B4DE" w:rsidTr="00791BF7">
        <w:trPr>
          <w:trHeight w:val="288"/>
        </w:trPr>
        <w:tc>
          <w:tcPr>
            <w:tcW w:w="36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9CF39EA" w14:textId="188BEBA5" w:rsidR="007031BD" w:rsidRPr="007504E6" w:rsidRDefault="007031BD" w:rsidP="007031BD">
            <w:pPr>
              <w:spacing w:line="276" w:lineRule="auto"/>
              <w:ind w:firstLine="0"/>
              <w:jc w:val="left"/>
              <w:rPr>
                <w:rFonts w:ascii="Times New Roman" w:eastAsia="Times New Roman" w:hAnsi="Times New Roman" w:cs="Times New Roman"/>
                <w:color w:val="000000"/>
                <w:lang w:val="en-GB" w:eastAsia="lv-LV"/>
              </w:rPr>
            </w:pPr>
            <w:r w:rsidRPr="007504E6">
              <w:rPr>
                <w:szCs w:val="20"/>
                <w:lang w:val="en-GB"/>
              </w:rPr>
              <w:t xml:space="preserve">Changes in the </w:t>
            </w:r>
            <w:r w:rsidR="00FB7E4C" w:rsidRPr="007504E6">
              <w:rPr>
                <w:szCs w:val="20"/>
                <w:lang w:val="en-GB"/>
              </w:rPr>
              <w:t>construction costs</w:t>
            </w:r>
            <w:r w:rsidRPr="007504E6">
              <w:rPr>
                <w:szCs w:val="20"/>
                <w:lang w:val="en-GB"/>
              </w:rPr>
              <w:t xml:space="preserve"> of specialized construction works</w:t>
            </w:r>
          </w:p>
        </w:tc>
        <w:tc>
          <w:tcPr>
            <w:tcW w:w="650" w:type="dxa"/>
            <w:tcBorders>
              <w:left w:val="single" w:sz="4" w:space="0" w:color="BFBFBF" w:themeColor="background1" w:themeShade="BF"/>
            </w:tcBorders>
            <w:noWrap/>
            <w:vAlign w:val="center"/>
            <w:hideMark/>
          </w:tcPr>
          <w:p w14:paraId="1DEDB97A" w14:textId="2A2DE3D4" w:rsidR="007031BD" w:rsidRPr="007504E6" w:rsidRDefault="007031BD" w:rsidP="00791BF7">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15.7</w:t>
            </w:r>
          </w:p>
        </w:tc>
        <w:tc>
          <w:tcPr>
            <w:tcW w:w="922" w:type="dxa"/>
            <w:gridSpan w:val="2"/>
            <w:noWrap/>
            <w:vAlign w:val="center"/>
            <w:hideMark/>
          </w:tcPr>
          <w:p w14:paraId="43F12D59" w14:textId="74A36DAB" w:rsidR="007031BD" w:rsidRPr="007504E6" w:rsidRDefault="007031BD" w:rsidP="00791BF7">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6.9</w:t>
            </w:r>
          </w:p>
        </w:tc>
        <w:tc>
          <w:tcPr>
            <w:tcW w:w="921" w:type="dxa"/>
            <w:gridSpan w:val="2"/>
            <w:noWrap/>
            <w:vAlign w:val="center"/>
            <w:hideMark/>
          </w:tcPr>
          <w:p w14:paraId="166599BC" w14:textId="41B0E213" w:rsidR="007031BD" w:rsidRPr="007504E6" w:rsidRDefault="007031BD" w:rsidP="00791BF7">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5.7</w:t>
            </w:r>
          </w:p>
        </w:tc>
        <w:tc>
          <w:tcPr>
            <w:tcW w:w="665" w:type="dxa"/>
            <w:noWrap/>
            <w:vAlign w:val="center"/>
            <w:hideMark/>
          </w:tcPr>
          <w:p w14:paraId="52C77213" w14:textId="0EEFF095" w:rsidR="007031BD" w:rsidRPr="007504E6" w:rsidRDefault="007031BD" w:rsidP="00791BF7">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5.0</w:t>
            </w:r>
          </w:p>
        </w:tc>
        <w:tc>
          <w:tcPr>
            <w:tcW w:w="953" w:type="dxa"/>
            <w:gridSpan w:val="2"/>
            <w:tcBorders>
              <w:right w:val="single" w:sz="4" w:space="0" w:color="BFBFBF" w:themeColor="background1" w:themeShade="BF"/>
            </w:tcBorders>
            <w:noWrap/>
            <w:vAlign w:val="center"/>
            <w:hideMark/>
          </w:tcPr>
          <w:p w14:paraId="48702642" w14:textId="1C0A3DFD" w:rsidR="007031BD" w:rsidRPr="007504E6" w:rsidRDefault="007031BD" w:rsidP="00791BF7">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3.7</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3126EA2" w14:textId="1580B9E8" w:rsidR="007031BD" w:rsidRPr="007504E6" w:rsidRDefault="007031BD" w:rsidP="00791BF7">
            <w:pPr>
              <w:spacing w:line="276" w:lineRule="auto"/>
              <w:ind w:firstLine="0"/>
              <w:jc w:val="center"/>
              <w:rPr>
                <w:rFonts w:ascii="Times New Roman" w:hAnsi="Times New Roman" w:cs="Times New Roman"/>
                <w:color w:val="000000"/>
                <w:lang w:val="en-GB"/>
              </w:rPr>
            </w:pPr>
            <w:r w:rsidRPr="007504E6">
              <w:rPr>
                <w:szCs w:val="20"/>
                <w:lang w:val="en-GB"/>
              </w:rPr>
              <w:t>7.3</w:t>
            </w:r>
          </w:p>
        </w:tc>
      </w:tr>
      <w:tr w:rsidR="007031BD" w:rsidRPr="007504E6" w14:paraId="193A7201" w14:textId="1A836A50" w:rsidTr="00791BF7">
        <w:trPr>
          <w:trHeight w:val="288"/>
        </w:trPr>
        <w:tc>
          <w:tcPr>
            <w:tcW w:w="36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7C3EC2B" w14:textId="1FB5E57B" w:rsidR="007031BD" w:rsidRPr="007504E6" w:rsidRDefault="007031BD" w:rsidP="007031BD">
            <w:pPr>
              <w:spacing w:line="276" w:lineRule="auto"/>
              <w:ind w:firstLine="0"/>
              <w:jc w:val="left"/>
              <w:rPr>
                <w:rFonts w:ascii="Times New Roman" w:eastAsia="Times New Roman" w:hAnsi="Times New Roman" w:cs="Times New Roman"/>
                <w:color w:val="000000"/>
                <w:lang w:val="en-GB" w:eastAsia="lv-LV"/>
              </w:rPr>
            </w:pPr>
            <w:r w:rsidRPr="007504E6">
              <w:rPr>
                <w:szCs w:val="20"/>
                <w:lang w:val="en-GB"/>
              </w:rPr>
              <w:t xml:space="preserve">Changes in the architectural and engineering services, technical testing and analysis </w:t>
            </w:r>
            <w:r w:rsidR="00FB7E4C" w:rsidRPr="007504E6">
              <w:rPr>
                <w:szCs w:val="20"/>
                <w:lang w:val="en-GB"/>
              </w:rPr>
              <w:t>construction costs</w:t>
            </w:r>
          </w:p>
        </w:tc>
        <w:tc>
          <w:tcPr>
            <w:tcW w:w="650" w:type="dxa"/>
            <w:tcBorders>
              <w:left w:val="single" w:sz="4" w:space="0" w:color="BFBFBF" w:themeColor="background1" w:themeShade="BF"/>
            </w:tcBorders>
            <w:noWrap/>
            <w:vAlign w:val="center"/>
            <w:hideMark/>
          </w:tcPr>
          <w:p w14:paraId="12480511" w14:textId="3D77B2E5" w:rsidR="007031BD" w:rsidRPr="007504E6" w:rsidRDefault="007031BD" w:rsidP="00791BF7">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13.6</w:t>
            </w:r>
          </w:p>
        </w:tc>
        <w:tc>
          <w:tcPr>
            <w:tcW w:w="922" w:type="dxa"/>
            <w:gridSpan w:val="2"/>
            <w:noWrap/>
            <w:vAlign w:val="center"/>
            <w:hideMark/>
          </w:tcPr>
          <w:p w14:paraId="6FF70FAD" w14:textId="6A9B69B7" w:rsidR="007031BD" w:rsidRPr="007504E6" w:rsidRDefault="007031BD" w:rsidP="00791BF7">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15.7</w:t>
            </w:r>
          </w:p>
        </w:tc>
        <w:tc>
          <w:tcPr>
            <w:tcW w:w="921" w:type="dxa"/>
            <w:gridSpan w:val="2"/>
            <w:noWrap/>
            <w:vAlign w:val="center"/>
            <w:hideMark/>
          </w:tcPr>
          <w:p w14:paraId="74214A05" w14:textId="3D1B9E45" w:rsidR="007031BD" w:rsidRPr="007504E6" w:rsidRDefault="007031BD" w:rsidP="00791BF7">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4.9</w:t>
            </w:r>
          </w:p>
        </w:tc>
        <w:tc>
          <w:tcPr>
            <w:tcW w:w="665" w:type="dxa"/>
            <w:noWrap/>
            <w:vAlign w:val="center"/>
            <w:hideMark/>
          </w:tcPr>
          <w:p w14:paraId="3C218A7E" w14:textId="2198B068" w:rsidR="007031BD" w:rsidRPr="007504E6" w:rsidRDefault="007031BD" w:rsidP="00791BF7">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6.1</w:t>
            </w:r>
          </w:p>
        </w:tc>
        <w:tc>
          <w:tcPr>
            <w:tcW w:w="953" w:type="dxa"/>
            <w:gridSpan w:val="2"/>
            <w:tcBorders>
              <w:right w:val="single" w:sz="4" w:space="0" w:color="BFBFBF" w:themeColor="background1" w:themeShade="BF"/>
            </w:tcBorders>
            <w:noWrap/>
            <w:vAlign w:val="center"/>
            <w:hideMark/>
          </w:tcPr>
          <w:p w14:paraId="6DCAD42B" w14:textId="15978187" w:rsidR="007031BD" w:rsidRPr="007504E6" w:rsidRDefault="007031BD" w:rsidP="00791BF7">
            <w:pPr>
              <w:spacing w:line="276" w:lineRule="auto"/>
              <w:ind w:firstLine="0"/>
              <w:jc w:val="center"/>
              <w:rPr>
                <w:rFonts w:ascii="Times New Roman" w:eastAsia="Times New Roman" w:hAnsi="Times New Roman" w:cs="Times New Roman"/>
                <w:color w:val="000000"/>
                <w:lang w:val="en-GB" w:eastAsia="lv-LV"/>
              </w:rPr>
            </w:pPr>
            <w:r w:rsidRPr="007504E6">
              <w:rPr>
                <w:szCs w:val="20"/>
                <w:lang w:val="en-GB"/>
              </w:rPr>
              <w:t>4.6</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E9230F7" w14:textId="659F8A5E" w:rsidR="007031BD" w:rsidRPr="007504E6" w:rsidRDefault="007031BD" w:rsidP="00791BF7">
            <w:pPr>
              <w:spacing w:line="276" w:lineRule="auto"/>
              <w:ind w:firstLine="0"/>
              <w:jc w:val="center"/>
              <w:rPr>
                <w:rFonts w:ascii="Times New Roman" w:hAnsi="Times New Roman" w:cs="Times New Roman"/>
                <w:color w:val="000000"/>
                <w:lang w:val="en-GB"/>
              </w:rPr>
            </w:pPr>
            <w:r w:rsidRPr="007504E6">
              <w:rPr>
                <w:szCs w:val="20"/>
                <w:lang w:val="en-GB"/>
              </w:rPr>
              <w:t>8.9</w:t>
            </w:r>
          </w:p>
        </w:tc>
      </w:tr>
    </w:tbl>
    <w:p w14:paraId="2AA1E83D" w14:textId="205731EC" w:rsidR="00386433" w:rsidRPr="007504E6" w:rsidRDefault="00386433" w:rsidP="00386433">
      <w:pPr>
        <w:spacing w:line="276" w:lineRule="auto"/>
        <w:ind w:firstLine="0"/>
        <w:rPr>
          <w:rFonts w:ascii="Times New Roman" w:hAnsi="Times New Roman" w:cs="Times New Roman"/>
          <w:lang w:val="en-GB"/>
        </w:rPr>
      </w:pPr>
    </w:p>
    <w:p w14:paraId="68EBB7A2" w14:textId="77777777" w:rsidR="007031BD" w:rsidRPr="007504E6" w:rsidRDefault="007031BD" w:rsidP="007031BD">
      <w:pPr>
        <w:spacing w:line="276" w:lineRule="auto"/>
        <w:ind w:firstLine="0"/>
        <w:rPr>
          <w:rFonts w:ascii="Times New Roman" w:hAnsi="Times New Roman" w:cs="Times New Roman"/>
          <w:lang w:val="en-GB"/>
        </w:rPr>
      </w:pPr>
      <w:r w:rsidRPr="007504E6">
        <w:rPr>
          <w:rFonts w:ascii="Times New Roman" w:hAnsi="Times New Roman" w:cs="Times New Roman"/>
          <w:lang w:val="en-GB"/>
        </w:rPr>
        <w:t>In the building construction sub-sector, the increase in costs will have the greatest impact in 2021, when an increase of 11.6% compared to 2020 is forecast. In the following years, it will decrease and will be similar to the pre-pandemic level and in the four years from 2022 will be on average 6.4% per year compared to the previous year.</w:t>
      </w:r>
    </w:p>
    <w:p w14:paraId="35F0AD73" w14:textId="77777777" w:rsidR="007031BD" w:rsidRPr="007504E6" w:rsidRDefault="007031BD" w:rsidP="007031BD">
      <w:pPr>
        <w:spacing w:line="276" w:lineRule="auto"/>
        <w:ind w:firstLine="0"/>
        <w:rPr>
          <w:rFonts w:ascii="Times New Roman" w:hAnsi="Times New Roman" w:cs="Times New Roman"/>
          <w:lang w:val="en-GB"/>
        </w:rPr>
      </w:pPr>
    </w:p>
    <w:p w14:paraId="6D3AE852" w14:textId="77777777" w:rsidR="007031BD" w:rsidRPr="007504E6" w:rsidRDefault="007031BD" w:rsidP="007031BD">
      <w:pPr>
        <w:spacing w:line="276" w:lineRule="auto"/>
        <w:ind w:firstLine="0"/>
        <w:rPr>
          <w:rFonts w:ascii="Times New Roman" w:hAnsi="Times New Roman" w:cs="Times New Roman"/>
          <w:lang w:val="en-GB"/>
        </w:rPr>
      </w:pPr>
      <w:r w:rsidRPr="007504E6">
        <w:rPr>
          <w:rFonts w:ascii="Times New Roman" w:hAnsi="Times New Roman" w:cs="Times New Roman"/>
          <w:lang w:val="en-GB"/>
        </w:rPr>
        <w:t>The largest increase in costs is expected in the construction of transport facilities in the medium term, although in the short term in 2021 this sub-sector will have a relatively low increase in projected costs. In the construction of roads and highways, a high cost increase of 10.0% is forecast in 2021, but in the following years it will decrease below the 10% limit. At the same time, the lowest cost growth of 4.0% is forecast for the construction of bridges and tunnels in 2021, which will increase significantly in the coming years already in 2022, reaching 12.0% according to expert forecasts and in the assessment of 2023-2025. An average annual growth rate of 14.3% is forecast for. For railway and metro construction products, the largest increase in costs is forecast at 11.0% and 15.3% per annum over the whole period under review.</w:t>
      </w:r>
    </w:p>
    <w:p w14:paraId="07EF7FF0" w14:textId="77777777" w:rsidR="007031BD" w:rsidRPr="007504E6" w:rsidRDefault="007031BD" w:rsidP="007031BD">
      <w:pPr>
        <w:spacing w:line="276" w:lineRule="auto"/>
        <w:ind w:firstLine="0"/>
        <w:rPr>
          <w:rFonts w:ascii="Times New Roman" w:hAnsi="Times New Roman" w:cs="Times New Roman"/>
          <w:lang w:val="en-GB"/>
        </w:rPr>
      </w:pPr>
    </w:p>
    <w:p w14:paraId="417FB500" w14:textId="01F4C366" w:rsidR="00386433" w:rsidRPr="007504E6" w:rsidRDefault="007031BD" w:rsidP="007031BD">
      <w:pPr>
        <w:spacing w:line="276" w:lineRule="auto"/>
        <w:ind w:firstLine="0"/>
        <w:rPr>
          <w:rFonts w:ascii="Times New Roman" w:hAnsi="Times New Roman" w:cs="Times New Roman"/>
          <w:lang w:val="en-GB"/>
        </w:rPr>
      </w:pPr>
      <w:r w:rsidRPr="007504E6">
        <w:rPr>
          <w:rFonts w:ascii="Times New Roman" w:hAnsi="Times New Roman" w:cs="Times New Roman"/>
          <w:lang w:val="en-GB"/>
        </w:rPr>
        <w:t>In the construction of urban infrastructure objects, an increase in costs is also forecasted, which will not exceed the limit of 10% in any given period. In 2021, the largest increase in costs is forecast at 9.6%, but in the coming years it will be smaller and lower and is estimated to be 5.5% in 2025 compared to the previous year</w:t>
      </w:r>
      <w:r w:rsidR="00386433" w:rsidRPr="007504E6">
        <w:rPr>
          <w:rFonts w:ascii="Times New Roman" w:hAnsi="Times New Roman" w:cs="Times New Roman"/>
          <w:lang w:val="en-GB"/>
        </w:rPr>
        <w:t>.</w:t>
      </w:r>
    </w:p>
    <w:p w14:paraId="741494DC" w14:textId="77777777" w:rsidR="003B7083" w:rsidRPr="007504E6" w:rsidRDefault="003B7083" w:rsidP="003B7083">
      <w:pPr>
        <w:spacing w:line="276" w:lineRule="auto"/>
        <w:ind w:firstLine="0"/>
        <w:rPr>
          <w:rFonts w:ascii="Times New Roman" w:hAnsi="Times New Roman" w:cs="Times New Roman"/>
          <w:lang w:val="en-GB"/>
        </w:rPr>
      </w:pPr>
    </w:p>
    <w:p w14:paraId="4C35AB41" w14:textId="77777777" w:rsidR="007031BD" w:rsidRPr="007504E6" w:rsidRDefault="007031BD" w:rsidP="007031BD">
      <w:pPr>
        <w:spacing w:line="276" w:lineRule="auto"/>
        <w:ind w:firstLine="0"/>
        <w:rPr>
          <w:rFonts w:ascii="Times New Roman" w:hAnsi="Times New Roman" w:cs="Times New Roman"/>
          <w:lang w:val="en-GB"/>
        </w:rPr>
      </w:pPr>
      <w:r w:rsidRPr="007504E6">
        <w:rPr>
          <w:rFonts w:ascii="Times New Roman" w:hAnsi="Times New Roman" w:cs="Times New Roman"/>
          <w:lang w:val="en-GB"/>
        </w:rPr>
        <w:t>The specialized construction sub-sector is forecast to have the fastest cost increase of all sub-sectors in 2021 with a jump of 15.7%, which will be followed by a jump to 6.9% in 2022 and the assessment envisages further slower cost growth up to 3.7% in 2025. in.</w:t>
      </w:r>
    </w:p>
    <w:p w14:paraId="41F7C6C9" w14:textId="77777777" w:rsidR="007031BD" w:rsidRPr="007504E6" w:rsidRDefault="007031BD" w:rsidP="007031BD">
      <w:pPr>
        <w:spacing w:line="276" w:lineRule="auto"/>
        <w:ind w:firstLine="0"/>
        <w:rPr>
          <w:rFonts w:ascii="Times New Roman" w:hAnsi="Times New Roman" w:cs="Times New Roman"/>
          <w:lang w:val="en-GB"/>
        </w:rPr>
      </w:pPr>
    </w:p>
    <w:p w14:paraId="194A0C64" w14:textId="5991F59E" w:rsidR="00386433" w:rsidRPr="007504E6" w:rsidRDefault="007031BD" w:rsidP="007031BD">
      <w:pPr>
        <w:spacing w:line="276" w:lineRule="auto"/>
        <w:ind w:firstLine="0"/>
        <w:rPr>
          <w:rFonts w:ascii="Times New Roman" w:hAnsi="Times New Roman" w:cs="Times New Roman"/>
          <w:lang w:val="en-GB"/>
        </w:rPr>
      </w:pPr>
      <w:r w:rsidRPr="007504E6">
        <w:rPr>
          <w:rFonts w:ascii="Times New Roman" w:hAnsi="Times New Roman" w:cs="Times New Roman"/>
          <w:lang w:val="en-GB"/>
        </w:rPr>
        <w:t>In the sub-sector of architectural and engineering services, technical testing and analysis, 2021 and 2022 are marked by a projected high cost increase of 13.6% and 15.7% compared to the previous year. In further periods 2023-2025. On average, the increase in costs in 2006 is estimated at 5.2% compared to the previous year</w:t>
      </w:r>
      <w:r w:rsidR="00386433" w:rsidRPr="007504E6">
        <w:rPr>
          <w:rFonts w:ascii="Times New Roman" w:hAnsi="Times New Roman" w:cs="Times New Roman"/>
          <w:lang w:val="en-GB"/>
        </w:rPr>
        <w:t>.</w:t>
      </w:r>
    </w:p>
    <w:p w14:paraId="4C22E255" w14:textId="77777777" w:rsidR="00386433" w:rsidRPr="007504E6" w:rsidRDefault="00386433" w:rsidP="00386433">
      <w:pPr>
        <w:spacing w:line="276" w:lineRule="auto"/>
        <w:ind w:firstLine="0"/>
        <w:rPr>
          <w:rFonts w:ascii="Times New Roman" w:hAnsi="Times New Roman" w:cs="Times New Roman"/>
          <w:lang w:val="en-GB"/>
        </w:rPr>
      </w:pPr>
    </w:p>
    <w:bookmarkEnd w:id="12"/>
    <w:p w14:paraId="2DF9496F" w14:textId="29FB94CA" w:rsidR="005B748E" w:rsidRPr="007504E6" w:rsidRDefault="005B748E" w:rsidP="00B9247E">
      <w:pPr>
        <w:spacing w:line="276" w:lineRule="auto"/>
        <w:rPr>
          <w:rFonts w:ascii="Times New Roman" w:hAnsi="Times New Roman" w:cs="Times New Roman"/>
          <w:lang w:val="en-GB"/>
        </w:rPr>
      </w:pPr>
    </w:p>
    <w:p w14:paraId="7B64BE92" w14:textId="46C98CB8" w:rsidR="005B748E" w:rsidRPr="007504E6" w:rsidRDefault="00E63A24" w:rsidP="00D64210">
      <w:pPr>
        <w:pStyle w:val="Virsraksts3"/>
        <w:numPr>
          <w:ilvl w:val="2"/>
          <w:numId w:val="5"/>
        </w:numPr>
        <w:spacing w:line="276" w:lineRule="auto"/>
        <w:rPr>
          <w:rFonts w:ascii="Times New Roman" w:hAnsi="Times New Roman" w:cs="Times New Roman"/>
          <w:b/>
          <w:bCs/>
          <w:color w:val="262626" w:themeColor="text1" w:themeTint="D9"/>
          <w:sz w:val="24"/>
          <w:szCs w:val="28"/>
          <w:lang w:val="en-GB"/>
        </w:rPr>
      </w:pPr>
      <w:r w:rsidRPr="007504E6">
        <w:rPr>
          <w:rFonts w:ascii="Times New Roman" w:hAnsi="Times New Roman" w:cs="Times New Roman"/>
          <w:b/>
          <w:bCs/>
          <w:color w:val="262626" w:themeColor="text1" w:themeTint="D9"/>
          <w:sz w:val="24"/>
          <w:szCs w:val="28"/>
          <w:lang w:val="en-GB"/>
        </w:rPr>
        <w:t>Changes in construction costs by type of resource</w:t>
      </w:r>
    </w:p>
    <w:p w14:paraId="560E81AC" w14:textId="77777777" w:rsidR="00B43CD6" w:rsidRPr="007504E6" w:rsidRDefault="00B43CD6" w:rsidP="00B9247E">
      <w:pPr>
        <w:spacing w:line="276" w:lineRule="auto"/>
        <w:rPr>
          <w:rFonts w:ascii="Times New Roman" w:hAnsi="Times New Roman" w:cs="Times New Roman"/>
          <w:lang w:val="en-GB"/>
        </w:rPr>
      </w:pPr>
    </w:p>
    <w:p w14:paraId="02119F0D" w14:textId="5BD5891F" w:rsidR="005B748E" w:rsidRPr="007504E6" w:rsidRDefault="00E63A24" w:rsidP="003A5228">
      <w:pPr>
        <w:spacing w:line="276" w:lineRule="auto"/>
        <w:ind w:firstLine="0"/>
        <w:rPr>
          <w:rFonts w:ascii="Times New Roman" w:hAnsi="Times New Roman" w:cs="Times New Roman"/>
          <w:lang w:val="en-GB"/>
        </w:rPr>
      </w:pPr>
      <w:r w:rsidRPr="007504E6">
        <w:rPr>
          <w:rFonts w:ascii="Times New Roman" w:hAnsi="Times New Roman" w:cs="Times New Roman"/>
          <w:lang w:val="en-GB"/>
        </w:rPr>
        <w:t xml:space="preserve">Changes in construction costs by type of resource were assessed in each of the sub-sectors. The following division into types of resources was </w:t>
      </w:r>
      <w:proofErr w:type="spellStart"/>
      <w:r w:rsidRPr="007504E6">
        <w:rPr>
          <w:rFonts w:ascii="Times New Roman" w:hAnsi="Times New Roman" w:cs="Times New Roman"/>
          <w:lang w:val="en-GB"/>
        </w:rPr>
        <w:t>analyzed</w:t>
      </w:r>
      <w:proofErr w:type="spellEnd"/>
      <w:r w:rsidRPr="007504E6">
        <w:rPr>
          <w:rFonts w:ascii="Times New Roman" w:hAnsi="Times New Roman" w:cs="Times New Roman"/>
          <w:lang w:val="en-GB"/>
        </w:rPr>
        <w:t xml:space="preserve"> within the study</w:t>
      </w:r>
      <w:r w:rsidR="00645B72" w:rsidRPr="007504E6">
        <w:rPr>
          <w:rFonts w:ascii="Times New Roman" w:hAnsi="Times New Roman" w:cs="Times New Roman"/>
          <w:lang w:val="en-GB"/>
        </w:rPr>
        <w:t>:</w:t>
      </w:r>
    </w:p>
    <w:p w14:paraId="266FBE61" w14:textId="6F9E9B0A" w:rsidR="00E63A24" w:rsidRPr="007504E6" w:rsidRDefault="00E63A24" w:rsidP="00E63A24">
      <w:pPr>
        <w:pStyle w:val="Sarakstarindkopa"/>
        <w:numPr>
          <w:ilvl w:val="0"/>
          <w:numId w:val="9"/>
        </w:numPr>
        <w:spacing w:line="276" w:lineRule="auto"/>
        <w:rPr>
          <w:rFonts w:ascii="Times New Roman" w:hAnsi="Times New Roman" w:cs="Times New Roman"/>
          <w:lang w:val="en-GB"/>
        </w:rPr>
      </w:pPr>
      <w:r w:rsidRPr="007504E6">
        <w:rPr>
          <w:rFonts w:ascii="Times New Roman" w:hAnsi="Times New Roman" w:cs="Times New Roman"/>
          <w:lang w:val="en-GB"/>
        </w:rPr>
        <w:t>Changes in construction material costs;</w:t>
      </w:r>
    </w:p>
    <w:p w14:paraId="27E75945" w14:textId="376BD879" w:rsidR="00E63A24" w:rsidRPr="007504E6" w:rsidRDefault="00E63A24" w:rsidP="00E63A24">
      <w:pPr>
        <w:pStyle w:val="Sarakstarindkopa"/>
        <w:numPr>
          <w:ilvl w:val="0"/>
          <w:numId w:val="9"/>
        </w:numPr>
        <w:spacing w:line="276" w:lineRule="auto"/>
        <w:rPr>
          <w:rFonts w:ascii="Times New Roman" w:hAnsi="Times New Roman" w:cs="Times New Roman"/>
          <w:lang w:val="en-GB"/>
        </w:rPr>
      </w:pPr>
      <w:r w:rsidRPr="007504E6">
        <w:rPr>
          <w:rFonts w:ascii="Times New Roman" w:hAnsi="Times New Roman" w:cs="Times New Roman"/>
          <w:lang w:val="en-GB"/>
        </w:rPr>
        <w:t>Changes in workers' wage costs;</w:t>
      </w:r>
    </w:p>
    <w:p w14:paraId="71587139" w14:textId="04B818AE" w:rsidR="00E63A24" w:rsidRPr="007504E6" w:rsidRDefault="00E63A24" w:rsidP="00E63A24">
      <w:pPr>
        <w:pStyle w:val="Sarakstarindkopa"/>
        <w:numPr>
          <w:ilvl w:val="0"/>
          <w:numId w:val="9"/>
        </w:numPr>
        <w:spacing w:line="276" w:lineRule="auto"/>
        <w:rPr>
          <w:rFonts w:ascii="Times New Roman" w:hAnsi="Times New Roman" w:cs="Times New Roman"/>
          <w:lang w:val="en-GB"/>
        </w:rPr>
      </w:pPr>
      <w:r w:rsidRPr="007504E6">
        <w:rPr>
          <w:rFonts w:ascii="Times New Roman" w:hAnsi="Times New Roman" w:cs="Times New Roman"/>
          <w:lang w:val="en-GB"/>
        </w:rPr>
        <w:t>Changes in maintenance and operating costs of machines and mechanisms;</w:t>
      </w:r>
    </w:p>
    <w:p w14:paraId="5B5B05D0" w14:textId="55302722" w:rsidR="00645B72" w:rsidRPr="007504E6" w:rsidRDefault="00E63A24" w:rsidP="00E63A24">
      <w:pPr>
        <w:pStyle w:val="Sarakstarindkopa"/>
        <w:numPr>
          <w:ilvl w:val="0"/>
          <w:numId w:val="9"/>
        </w:numPr>
        <w:spacing w:line="276" w:lineRule="auto"/>
        <w:rPr>
          <w:rFonts w:ascii="Times New Roman" w:hAnsi="Times New Roman" w:cs="Times New Roman"/>
          <w:lang w:val="en-GB"/>
        </w:rPr>
      </w:pPr>
      <w:r w:rsidRPr="007504E6">
        <w:rPr>
          <w:rFonts w:ascii="Times New Roman" w:hAnsi="Times New Roman" w:cs="Times New Roman"/>
          <w:lang w:val="en-GB"/>
        </w:rPr>
        <w:t>Architectural and engineering services; technical testing and analysis</w:t>
      </w:r>
      <w:r w:rsidR="00AE3B98" w:rsidRPr="007504E6">
        <w:rPr>
          <w:rFonts w:ascii="Times New Roman" w:hAnsi="Times New Roman" w:cs="Times New Roman"/>
          <w:lang w:val="en-GB"/>
        </w:rPr>
        <w:t>.</w:t>
      </w:r>
    </w:p>
    <w:p w14:paraId="78883203" w14:textId="77777777" w:rsidR="003A5228" w:rsidRPr="007504E6" w:rsidRDefault="003A5228" w:rsidP="003A5228">
      <w:pPr>
        <w:spacing w:line="276" w:lineRule="auto"/>
        <w:ind w:firstLine="0"/>
        <w:rPr>
          <w:rFonts w:ascii="Times New Roman" w:hAnsi="Times New Roman" w:cs="Times New Roman"/>
          <w:lang w:val="en-GB"/>
        </w:rPr>
      </w:pPr>
    </w:p>
    <w:p w14:paraId="3F0C8160" w14:textId="77777777" w:rsidR="0002428B" w:rsidRPr="007504E6" w:rsidRDefault="0002428B" w:rsidP="0002428B">
      <w:pPr>
        <w:spacing w:line="276" w:lineRule="auto"/>
        <w:ind w:firstLine="0"/>
        <w:rPr>
          <w:rFonts w:ascii="Times New Roman" w:hAnsi="Times New Roman" w:cs="Times New Roman"/>
          <w:lang w:val="en-GB"/>
        </w:rPr>
      </w:pPr>
      <w:r w:rsidRPr="007504E6">
        <w:rPr>
          <w:rFonts w:ascii="Times New Roman" w:hAnsi="Times New Roman" w:cs="Times New Roman"/>
          <w:lang w:val="en-GB"/>
        </w:rPr>
        <w:t>In addition to the overall breakdown of cost types, changes in costs were also considered in combination with the sub-sector breakdown.</w:t>
      </w:r>
    </w:p>
    <w:p w14:paraId="5DCC185D" w14:textId="77777777" w:rsidR="0002428B" w:rsidRPr="007504E6" w:rsidRDefault="0002428B" w:rsidP="0002428B">
      <w:pPr>
        <w:spacing w:line="276" w:lineRule="auto"/>
        <w:ind w:firstLine="0"/>
        <w:rPr>
          <w:rFonts w:ascii="Times New Roman" w:hAnsi="Times New Roman" w:cs="Times New Roman"/>
          <w:lang w:val="en-GB"/>
        </w:rPr>
      </w:pPr>
    </w:p>
    <w:p w14:paraId="330B4665" w14:textId="79CF957A" w:rsidR="00EB50F5" w:rsidRPr="007504E6" w:rsidRDefault="0002428B" w:rsidP="0002428B">
      <w:pPr>
        <w:spacing w:line="276" w:lineRule="auto"/>
        <w:ind w:firstLine="0"/>
        <w:rPr>
          <w:rFonts w:ascii="Times New Roman" w:hAnsi="Times New Roman" w:cs="Times New Roman"/>
          <w:lang w:val="en-GB"/>
        </w:rPr>
      </w:pPr>
      <w:r w:rsidRPr="007504E6">
        <w:rPr>
          <w:rFonts w:ascii="Times New Roman" w:hAnsi="Times New Roman" w:cs="Times New Roman"/>
          <w:lang w:val="en-GB"/>
        </w:rPr>
        <w:t>The largest increase is forecast in the cost of construction materials, which is ahead of the leading position of workers' wages in previous years. However, according to experts, this will rather be a phenomenon in 2021, because in 2022 forecasts, changes in construction material costs will decrease in the second position, with changes in workers' wages in the first place. Until 2025, the growth of construction material costs is forecast to be smaller and smaller</w:t>
      </w:r>
      <w:r w:rsidR="00D25CAD" w:rsidRPr="007504E6">
        <w:rPr>
          <w:rFonts w:ascii="Times New Roman" w:hAnsi="Times New Roman" w:cs="Times New Roman"/>
          <w:lang w:val="en-GB"/>
        </w:rPr>
        <w:t>.</w:t>
      </w:r>
    </w:p>
    <w:p w14:paraId="4E9C3314" w14:textId="097482C8" w:rsidR="00CC7AB8" w:rsidRPr="007504E6" w:rsidRDefault="00E46643" w:rsidP="00521077">
      <w:pPr>
        <w:keepNext/>
        <w:spacing w:line="276" w:lineRule="auto"/>
        <w:ind w:firstLine="0"/>
        <w:rPr>
          <w:rFonts w:ascii="Times New Roman" w:hAnsi="Times New Roman" w:cs="Times New Roman"/>
          <w:lang w:val="en-GB"/>
        </w:rPr>
      </w:pPr>
      <w:r w:rsidRPr="007504E6">
        <w:rPr>
          <w:noProof/>
          <w:lang w:val="en-GB"/>
        </w:rPr>
        <w:drawing>
          <wp:inline distT="0" distB="0" distL="0" distR="0" wp14:anchorId="55C9F065" wp14:editId="247E42E7">
            <wp:extent cx="5039995" cy="3642360"/>
            <wp:effectExtent l="0" t="0" r="8255" b="15240"/>
            <wp:docPr id="223" name="Chart 223">
              <a:extLst xmlns:a="http://schemas.openxmlformats.org/drawingml/2006/main">
                <a:ext uri="{FF2B5EF4-FFF2-40B4-BE49-F238E27FC236}">
                  <a16:creationId xmlns:a16="http://schemas.microsoft.com/office/drawing/2014/main" id="{95881EDF-51E8-4A9E-AD04-89C46395C2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BB1C91C" w14:textId="7DDA4DEE" w:rsidR="00CC7AB8" w:rsidRPr="007504E6" w:rsidRDefault="0002428B" w:rsidP="005F622A">
      <w:pPr>
        <w:pStyle w:val="Parakstszemobjekta"/>
        <w:jc w:val="center"/>
        <w:rPr>
          <w:rFonts w:ascii="Times New Roman" w:hAnsi="Times New Roman" w:cs="Times New Roman"/>
          <w:lang w:val="en-GB"/>
        </w:rPr>
      </w:pPr>
      <w:r w:rsidRPr="007504E6">
        <w:rPr>
          <w:lang w:val="en-GB"/>
        </w:rPr>
        <w:t>Fig</w:t>
      </w:r>
      <w:r w:rsidR="001B0C98" w:rsidRPr="007504E6">
        <w:rPr>
          <w:lang w:val="en-GB"/>
        </w:rPr>
        <w:t xml:space="preserve"> </w:t>
      </w:r>
      <w:r w:rsidR="00D64210" w:rsidRPr="007504E6">
        <w:rPr>
          <w:lang w:val="en-GB"/>
        </w:rPr>
        <w:fldChar w:fldCharType="begin"/>
      </w:r>
      <w:r w:rsidR="00D64210" w:rsidRPr="007504E6">
        <w:rPr>
          <w:lang w:val="en-GB"/>
        </w:rPr>
        <w:instrText xml:space="preserve"> SEQ Attēls \* ARABIC </w:instrText>
      </w:r>
      <w:r w:rsidR="00D64210" w:rsidRPr="007504E6">
        <w:rPr>
          <w:lang w:val="en-GB"/>
        </w:rPr>
        <w:fldChar w:fldCharType="separate"/>
      </w:r>
      <w:r w:rsidR="00D500F7">
        <w:rPr>
          <w:noProof/>
          <w:lang w:val="en-GB"/>
        </w:rPr>
        <w:t>9</w:t>
      </w:r>
      <w:r w:rsidR="00D64210" w:rsidRPr="007504E6">
        <w:rPr>
          <w:noProof/>
          <w:lang w:val="en-GB"/>
        </w:rPr>
        <w:fldChar w:fldCharType="end"/>
      </w:r>
      <w:r w:rsidR="001B0C98" w:rsidRPr="007504E6">
        <w:rPr>
          <w:lang w:val="en-GB"/>
        </w:rPr>
        <w:t xml:space="preserve">. </w:t>
      </w:r>
      <w:r w:rsidRPr="007504E6">
        <w:rPr>
          <w:rFonts w:ascii="Times New Roman" w:hAnsi="Times New Roman" w:cs="Times New Roman"/>
          <w:lang w:val="en-GB"/>
        </w:rPr>
        <w:t>Forecasts of changes in the types of resources according to the assessments of general and trade experts</w:t>
      </w:r>
      <w:r w:rsidR="008A0B70" w:rsidRPr="007504E6">
        <w:rPr>
          <w:rFonts w:ascii="Times New Roman" w:hAnsi="Times New Roman" w:cs="Times New Roman"/>
          <w:lang w:val="en-GB"/>
        </w:rPr>
        <w:t>.</w:t>
      </w:r>
    </w:p>
    <w:p w14:paraId="2A2819A1" w14:textId="0262818F" w:rsidR="00D318B2" w:rsidRPr="007504E6" w:rsidRDefault="00D318B2" w:rsidP="00B9247E">
      <w:pPr>
        <w:spacing w:line="276" w:lineRule="auto"/>
        <w:rPr>
          <w:rFonts w:ascii="Times New Roman" w:hAnsi="Times New Roman" w:cs="Times New Roman"/>
          <w:lang w:val="en-GB"/>
        </w:rPr>
      </w:pPr>
    </w:p>
    <w:p w14:paraId="646536D4" w14:textId="7FA61D61" w:rsidR="00827E30" w:rsidRPr="007504E6" w:rsidRDefault="0002428B" w:rsidP="00AF632A">
      <w:pPr>
        <w:spacing w:line="276" w:lineRule="auto"/>
        <w:ind w:firstLine="0"/>
        <w:rPr>
          <w:rFonts w:ascii="Times New Roman" w:hAnsi="Times New Roman" w:cs="Times New Roman"/>
          <w:lang w:val="en-GB"/>
        </w:rPr>
      </w:pPr>
      <w:r w:rsidRPr="007504E6">
        <w:rPr>
          <w:rFonts w:ascii="Times New Roman" w:hAnsi="Times New Roman" w:cs="Times New Roman"/>
          <w:lang w:val="en-GB"/>
        </w:rPr>
        <w:t>Building materials in 2021 are characterized by a significant and topical increase already during the research. Contrary to the constant trends of previous years, in 2021 for the first time a jump in the cost of construction materials was observed higher than a jump in wages. Significant differences are also observed between the statistical forecast and the expert forecast, as the trend of previous years' data does not show a significant jump in costs for construction materials from an extrapolation point of view, as costs have generally fluctuated between -3.2 and + 3.7% each year. However, based on the sharp jumps in the prices of timber and metal products in the first 6 months of 2021, the experts also took into account the current extraordinary increase in prices and therefore the experts' forecasts exceed the 12% annual increase in costs. The authors of the study, based on the experience of previous years' research, believe that the combined forecast (statistically-expert) could be the most plausible scenario in this case, identifying 7.1% increase in construction material costs in 2021 and 4.5% in 2022. There are also concerns that the experts' assessment was based on the situation in the first half of 2021, as already in the second half of 2021 a fall in timber prices was observed in some world markets, which could refer to a fall in prices in Latvia with several months delay</w:t>
      </w:r>
      <w:r w:rsidR="00FF61ED" w:rsidRPr="007504E6">
        <w:rPr>
          <w:rFonts w:ascii="Times New Roman" w:hAnsi="Times New Roman" w:cs="Times New Roman"/>
          <w:lang w:val="en-GB"/>
        </w:rPr>
        <w:t>.</w:t>
      </w:r>
    </w:p>
    <w:p w14:paraId="3596E904" w14:textId="3FF9E7A8" w:rsidR="00D318B2" w:rsidRPr="007504E6" w:rsidRDefault="00D318B2" w:rsidP="00827E30">
      <w:pPr>
        <w:spacing w:line="276" w:lineRule="auto"/>
        <w:ind w:firstLine="0"/>
        <w:rPr>
          <w:rFonts w:ascii="Times New Roman" w:hAnsi="Times New Roman" w:cs="Times New Roman"/>
          <w:lang w:val="en-GB"/>
        </w:rPr>
      </w:pPr>
    </w:p>
    <w:p w14:paraId="7BCD0D33" w14:textId="3CD722DE" w:rsidR="00013166" w:rsidRPr="007504E6" w:rsidRDefault="006056D8" w:rsidP="00521077">
      <w:pPr>
        <w:keepNext/>
        <w:spacing w:line="276" w:lineRule="auto"/>
        <w:ind w:firstLine="0"/>
        <w:rPr>
          <w:rFonts w:ascii="Times New Roman" w:hAnsi="Times New Roman" w:cs="Times New Roman"/>
          <w:lang w:val="en-GB"/>
        </w:rPr>
      </w:pPr>
      <w:r w:rsidRPr="007504E6">
        <w:rPr>
          <w:noProof/>
          <w:lang w:val="en-GB"/>
        </w:rPr>
        <w:drawing>
          <wp:inline distT="0" distB="0" distL="0" distR="0" wp14:anchorId="782C2905" wp14:editId="20530F27">
            <wp:extent cx="5387340" cy="2476500"/>
            <wp:effectExtent l="0" t="0" r="3810" b="0"/>
            <wp:docPr id="224" name="Chart 224">
              <a:extLst xmlns:a="http://schemas.openxmlformats.org/drawingml/2006/main">
                <a:ext uri="{FF2B5EF4-FFF2-40B4-BE49-F238E27FC236}">
                  <a16:creationId xmlns:a16="http://schemas.microsoft.com/office/drawing/2014/main" id="{2BBD8FA4-C18E-4FD9-900C-3CE5F955DF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bl>
      <w:tblPr>
        <w:tblW w:w="8364" w:type="dxa"/>
        <w:tblLayout w:type="fixed"/>
        <w:tblLook w:val="04A0" w:firstRow="1" w:lastRow="0" w:firstColumn="1" w:lastColumn="0" w:noHBand="0" w:noVBand="1"/>
      </w:tblPr>
      <w:tblGrid>
        <w:gridCol w:w="2410"/>
        <w:gridCol w:w="1190"/>
        <w:gridCol w:w="1191"/>
        <w:gridCol w:w="1191"/>
        <w:gridCol w:w="1191"/>
        <w:gridCol w:w="1191"/>
      </w:tblGrid>
      <w:tr w:rsidR="00963BDD" w:rsidRPr="007504E6" w14:paraId="710E05AF" w14:textId="77777777" w:rsidTr="00963BDD">
        <w:trPr>
          <w:trHeight w:val="288"/>
        </w:trPr>
        <w:tc>
          <w:tcPr>
            <w:tcW w:w="2410" w:type="dxa"/>
            <w:tcBorders>
              <w:top w:val="nil"/>
              <w:left w:val="nil"/>
              <w:bottom w:val="nil"/>
              <w:right w:val="nil"/>
            </w:tcBorders>
            <w:shd w:val="clear" w:color="auto" w:fill="auto"/>
            <w:noWrap/>
            <w:vAlign w:val="bottom"/>
            <w:hideMark/>
          </w:tcPr>
          <w:p w14:paraId="41BA2559" w14:textId="77777777" w:rsidR="00963BDD" w:rsidRPr="007504E6" w:rsidRDefault="00963BDD" w:rsidP="00963BDD">
            <w:pPr>
              <w:spacing w:line="240" w:lineRule="auto"/>
              <w:ind w:firstLine="0"/>
              <w:jc w:val="left"/>
              <w:rPr>
                <w:rFonts w:eastAsia="Times New Roman" w:cstheme="minorHAnsi"/>
                <w:sz w:val="18"/>
                <w:szCs w:val="18"/>
                <w:lang w:val="en-GB" w:eastAsia="lv-LV"/>
              </w:rPr>
            </w:pPr>
          </w:p>
        </w:tc>
        <w:tc>
          <w:tcPr>
            <w:tcW w:w="1190" w:type="dxa"/>
            <w:tcBorders>
              <w:top w:val="nil"/>
              <w:left w:val="nil"/>
              <w:bottom w:val="single" w:sz="4" w:space="0" w:color="7F7F7F" w:themeColor="text1" w:themeTint="80"/>
              <w:right w:val="nil"/>
            </w:tcBorders>
            <w:shd w:val="clear" w:color="auto" w:fill="auto"/>
            <w:noWrap/>
            <w:vAlign w:val="center"/>
            <w:hideMark/>
          </w:tcPr>
          <w:p w14:paraId="1D37A43F" w14:textId="356FA999" w:rsidR="00963BDD" w:rsidRPr="007504E6" w:rsidRDefault="00963BDD" w:rsidP="00963BDD">
            <w:pPr>
              <w:spacing w:line="240" w:lineRule="auto"/>
              <w:ind w:firstLine="0"/>
              <w:jc w:val="center"/>
              <w:rPr>
                <w:rFonts w:eastAsia="Times New Roman" w:cstheme="minorHAnsi"/>
                <w:color w:val="000000"/>
                <w:sz w:val="18"/>
                <w:szCs w:val="18"/>
                <w:lang w:val="en-GB" w:eastAsia="lv-LV"/>
              </w:rPr>
            </w:pPr>
            <w:r w:rsidRPr="007504E6">
              <w:rPr>
                <w:rFonts w:eastAsia="Times New Roman" w:cstheme="minorHAnsi"/>
                <w:color w:val="000000"/>
                <w:sz w:val="18"/>
                <w:szCs w:val="18"/>
                <w:lang w:val="en-GB" w:eastAsia="lv-LV"/>
              </w:rPr>
              <w:t>2021</w:t>
            </w:r>
          </w:p>
        </w:tc>
        <w:tc>
          <w:tcPr>
            <w:tcW w:w="1191" w:type="dxa"/>
            <w:tcBorders>
              <w:top w:val="nil"/>
              <w:left w:val="nil"/>
              <w:bottom w:val="single" w:sz="4" w:space="0" w:color="7F7F7F" w:themeColor="text1" w:themeTint="80"/>
              <w:right w:val="nil"/>
            </w:tcBorders>
            <w:shd w:val="clear" w:color="auto" w:fill="auto"/>
            <w:noWrap/>
            <w:vAlign w:val="center"/>
            <w:hideMark/>
          </w:tcPr>
          <w:p w14:paraId="7AA4C15A" w14:textId="17CA1845" w:rsidR="00963BDD" w:rsidRPr="007504E6" w:rsidRDefault="00963BDD" w:rsidP="00963BDD">
            <w:pPr>
              <w:spacing w:line="240" w:lineRule="auto"/>
              <w:ind w:firstLine="0"/>
              <w:jc w:val="center"/>
              <w:rPr>
                <w:rFonts w:eastAsia="Times New Roman" w:cstheme="minorHAnsi"/>
                <w:color w:val="000000"/>
                <w:sz w:val="18"/>
                <w:szCs w:val="18"/>
                <w:lang w:val="en-GB" w:eastAsia="lv-LV"/>
              </w:rPr>
            </w:pPr>
            <w:r w:rsidRPr="007504E6">
              <w:rPr>
                <w:rFonts w:eastAsia="Times New Roman" w:cstheme="minorHAnsi"/>
                <w:color w:val="000000"/>
                <w:sz w:val="18"/>
                <w:szCs w:val="18"/>
                <w:lang w:val="en-GB" w:eastAsia="lv-LV"/>
              </w:rPr>
              <w:t>2022</w:t>
            </w:r>
          </w:p>
        </w:tc>
        <w:tc>
          <w:tcPr>
            <w:tcW w:w="1191" w:type="dxa"/>
            <w:tcBorders>
              <w:top w:val="nil"/>
              <w:left w:val="nil"/>
              <w:bottom w:val="single" w:sz="4" w:space="0" w:color="7F7F7F" w:themeColor="text1" w:themeTint="80"/>
              <w:right w:val="nil"/>
            </w:tcBorders>
            <w:shd w:val="clear" w:color="auto" w:fill="auto"/>
            <w:noWrap/>
            <w:vAlign w:val="center"/>
            <w:hideMark/>
          </w:tcPr>
          <w:p w14:paraId="1D9A89F1" w14:textId="3F11BFB2" w:rsidR="00963BDD" w:rsidRPr="007504E6" w:rsidRDefault="00963BDD" w:rsidP="00963BDD">
            <w:pPr>
              <w:spacing w:line="240" w:lineRule="auto"/>
              <w:ind w:firstLine="0"/>
              <w:jc w:val="center"/>
              <w:rPr>
                <w:rFonts w:eastAsia="Times New Roman" w:cstheme="minorHAnsi"/>
                <w:color w:val="000000"/>
                <w:sz w:val="18"/>
                <w:szCs w:val="18"/>
                <w:lang w:val="en-GB" w:eastAsia="lv-LV"/>
              </w:rPr>
            </w:pPr>
            <w:r w:rsidRPr="007504E6">
              <w:rPr>
                <w:rFonts w:eastAsia="Times New Roman" w:cstheme="minorHAnsi"/>
                <w:color w:val="000000"/>
                <w:sz w:val="18"/>
                <w:szCs w:val="18"/>
                <w:lang w:val="en-GB" w:eastAsia="lv-LV"/>
              </w:rPr>
              <w:t>2023</w:t>
            </w:r>
          </w:p>
        </w:tc>
        <w:tc>
          <w:tcPr>
            <w:tcW w:w="1191" w:type="dxa"/>
            <w:tcBorders>
              <w:top w:val="nil"/>
              <w:left w:val="nil"/>
              <w:bottom w:val="single" w:sz="4" w:space="0" w:color="7F7F7F" w:themeColor="text1" w:themeTint="80"/>
              <w:right w:val="nil"/>
            </w:tcBorders>
            <w:shd w:val="clear" w:color="auto" w:fill="auto"/>
            <w:noWrap/>
            <w:vAlign w:val="center"/>
            <w:hideMark/>
          </w:tcPr>
          <w:p w14:paraId="4CAA99EC" w14:textId="26F3E516" w:rsidR="00963BDD" w:rsidRPr="007504E6" w:rsidRDefault="00963BDD" w:rsidP="00963BDD">
            <w:pPr>
              <w:spacing w:line="240" w:lineRule="auto"/>
              <w:ind w:firstLine="0"/>
              <w:jc w:val="center"/>
              <w:rPr>
                <w:rFonts w:eastAsia="Times New Roman" w:cstheme="minorHAnsi"/>
                <w:color w:val="000000"/>
                <w:sz w:val="18"/>
                <w:szCs w:val="18"/>
                <w:lang w:val="en-GB" w:eastAsia="lv-LV"/>
              </w:rPr>
            </w:pPr>
            <w:r w:rsidRPr="007504E6">
              <w:rPr>
                <w:rFonts w:eastAsia="Times New Roman" w:cstheme="minorHAnsi"/>
                <w:color w:val="000000"/>
                <w:sz w:val="18"/>
                <w:szCs w:val="18"/>
                <w:lang w:val="en-GB" w:eastAsia="lv-LV"/>
              </w:rPr>
              <w:t>2024</w:t>
            </w:r>
          </w:p>
        </w:tc>
        <w:tc>
          <w:tcPr>
            <w:tcW w:w="1191" w:type="dxa"/>
            <w:tcBorders>
              <w:top w:val="nil"/>
              <w:left w:val="nil"/>
              <w:bottom w:val="single" w:sz="4" w:space="0" w:color="7F7F7F" w:themeColor="text1" w:themeTint="80"/>
              <w:right w:val="nil"/>
            </w:tcBorders>
            <w:shd w:val="clear" w:color="auto" w:fill="auto"/>
            <w:noWrap/>
            <w:vAlign w:val="center"/>
            <w:hideMark/>
          </w:tcPr>
          <w:p w14:paraId="47DFD57D" w14:textId="75A8332A" w:rsidR="00963BDD" w:rsidRPr="007504E6" w:rsidRDefault="00963BDD" w:rsidP="00963BDD">
            <w:pPr>
              <w:spacing w:line="240" w:lineRule="auto"/>
              <w:ind w:firstLine="0"/>
              <w:jc w:val="center"/>
              <w:rPr>
                <w:rFonts w:eastAsia="Times New Roman" w:cstheme="minorHAnsi"/>
                <w:color w:val="000000"/>
                <w:sz w:val="18"/>
                <w:szCs w:val="18"/>
                <w:lang w:val="en-GB" w:eastAsia="lv-LV"/>
              </w:rPr>
            </w:pPr>
            <w:r w:rsidRPr="007504E6">
              <w:rPr>
                <w:rFonts w:eastAsia="Times New Roman" w:cstheme="minorHAnsi"/>
                <w:color w:val="000000"/>
                <w:sz w:val="18"/>
                <w:szCs w:val="18"/>
                <w:lang w:val="en-GB" w:eastAsia="lv-LV"/>
              </w:rPr>
              <w:t>2025</w:t>
            </w:r>
          </w:p>
        </w:tc>
      </w:tr>
      <w:tr w:rsidR="00963BDD" w:rsidRPr="007504E6" w14:paraId="35B046D1" w14:textId="77777777" w:rsidTr="00963BDD">
        <w:trPr>
          <w:trHeight w:val="288"/>
        </w:trPr>
        <w:tc>
          <w:tcPr>
            <w:tcW w:w="2410" w:type="dxa"/>
            <w:tcBorders>
              <w:top w:val="nil"/>
              <w:left w:val="nil"/>
              <w:bottom w:val="nil"/>
              <w:right w:val="single" w:sz="4" w:space="0" w:color="7F7F7F" w:themeColor="text1" w:themeTint="80"/>
            </w:tcBorders>
            <w:shd w:val="clear" w:color="auto" w:fill="auto"/>
            <w:noWrap/>
            <w:vAlign w:val="center"/>
            <w:hideMark/>
          </w:tcPr>
          <w:p w14:paraId="41FCEC48" w14:textId="77777777" w:rsidR="00963BDD" w:rsidRPr="007504E6" w:rsidRDefault="00963BDD" w:rsidP="00963BDD">
            <w:pPr>
              <w:spacing w:line="240" w:lineRule="auto"/>
              <w:ind w:firstLine="0"/>
              <w:jc w:val="right"/>
              <w:rPr>
                <w:rFonts w:eastAsia="Times New Roman" w:cstheme="minorHAnsi"/>
                <w:color w:val="000000"/>
                <w:sz w:val="18"/>
                <w:szCs w:val="18"/>
                <w:lang w:val="en-GB" w:eastAsia="lv-LV"/>
              </w:rPr>
            </w:pPr>
            <w:r w:rsidRPr="007504E6">
              <w:rPr>
                <w:rFonts w:eastAsia="Times New Roman" w:cstheme="minorHAnsi"/>
                <w:color w:val="000000"/>
                <w:sz w:val="18"/>
                <w:szCs w:val="18"/>
                <w:lang w:val="en-GB" w:eastAsia="lv-LV"/>
              </w:rPr>
              <w:t>Statistical forecast</w:t>
            </w:r>
          </w:p>
        </w:tc>
        <w:tc>
          <w:tcPr>
            <w:tcW w:w="11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1F015A9A" w14:textId="77777777" w:rsidR="00963BDD" w:rsidRPr="007504E6" w:rsidRDefault="00963BDD" w:rsidP="00963BDD">
            <w:pPr>
              <w:spacing w:line="240" w:lineRule="auto"/>
              <w:ind w:firstLine="0"/>
              <w:jc w:val="center"/>
              <w:rPr>
                <w:rFonts w:eastAsia="Times New Roman" w:cstheme="minorHAnsi"/>
                <w:color w:val="000000"/>
                <w:sz w:val="18"/>
                <w:szCs w:val="18"/>
                <w:lang w:val="en-GB" w:eastAsia="lv-LV"/>
              </w:rPr>
            </w:pPr>
            <w:r w:rsidRPr="007504E6">
              <w:rPr>
                <w:rFonts w:eastAsia="Times New Roman" w:cstheme="minorHAnsi"/>
                <w:color w:val="000000"/>
                <w:sz w:val="18"/>
                <w:szCs w:val="18"/>
                <w:lang w:val="en-GB" w:eastAsia="lv-LV"/>
              </w:rPr>
              <w:t>1,5</w:t>
            </w:r>
          </w:p>
        </w:tc>
        <w:tc>
          <w:tcPr>
            <w:tcW w:w="119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11FD94A0" w14:textId="77777777" w:rsidR="00963BDD" w:rsidRPr="007504E6" w:rsidRDefault="00963BDD" w:rsidP="00963BDD">
            <w:pPr>
              <w:spacing w:line="240" w:lineRule="auto"/>
              <w:ind w:firstLine="0"/>
              <w:jc w:val="center"/>
              <w:rPr>
                <w:rFonts w:eastAsia="Times New Roman" w:cstheme="minorHAnsi"/>
                <w:color w:val="000000"/>
                <w:sz w:val="18"/>
                <w:szCs w:val="18"/>
                <w:lang w:val="en-GB" w:eastAsia="lv-LV"/>
              </w:rPr>
            </w:pPr>
            <w:r w:rsidRPr="007504E6">
              <w:rPr>
                <w:rFonts w:eastAsia="Times New Roman" w:cstheme="minorHAnsi"/>
                <w:color w:val="000000"/>
                <w:sz w:val="18"/>
                <w:szCs w:val="18"/>
                <w:lang w:val="en-GB" w:eastAsia="lv-LV"/>
              </w:rPr>
              <w:t>1,7</w:t>
            </w:r>
          </w:p>
        </w:tc>
        <w:tc>
          <w:tcPr>
            <w:tcW w:w="119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483B66F6" w14:textId="77777777" w:rsidR="00963BDD" w:rsidRPr="007504E6" w:rsidRDefault="00963BDD" w:rsidP="00963BDD">
            <w:pPr>
              <w:spacing w:line="240" w:lineRule="auto"/>
              <w:ind w:firstLine="0"/>
              <w:jc w:val="center"/>
              <w:rPr>
                <w:rFonts w:eastAsia="Times New Roman" w:cstheme="minorHAnsi"/>
                <w:color w:val="000000"/>
                <w:sz w:val="18"/>
                <w:szCs w:val="18"/>
                <w:lang w:val="en-GB" w:eastAsia="lv-LV"/>
              </w:rPr>
            </w:pPr>
            <w:r w:rsidRPr="007504E6">
              <w:rPr>
                <w:rFonts w:eastAsia="Times New Roman" w:cstheme="minorHAnsi"/>
                <w:color w:val="000000"/>
                <w:sz w:val="18"/>
                <w:szCs w:val="18"/>
                <w:lang w:val="en-GB" w:eastAsia="lv-LV"/>
              </w:rPr>
              <w:t>1,9</w:t>
            </w:r>
          </w:p>
        </w:tc>
        <w:tc>
          <w:tcPr>
            <w:tcW w:w="119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29E9C4FC" w14:textId="77777777" w:rsidR="00963BDD" w:rsidRPr="007504E6" w:rsidRDefault="00963BDD" w:rsidP="00963BDD">
            <w:pPr>
              <w:spacing w:line="240" w:lineRule="auto"/>
              <w:ind w:firstLine="0"/>
              <w:jc w:val="center"/>
              <w:rPr>
                <w:rFonts w:eastAsia="Times New Roman" w:cstheme="minorHAnsi"/>
                <w:color w:val="000000"/>
                <w:sz w:val="18"/>
                <w:szCs w:val="18"/>
                <w:lang w:val="en-GB" w:eastAsia="lv-LV"/>
              </w:rPr>
            </w:pPr>
            <w:r w:rsidRPr="007504E6">
              <w:rPr>
                <w:rFonts w:eastAsia="Times New Roman" w:cstheme="minorHAnsi"/>
                <w:color w:val="000000"/>
                <w:sz w:val="18"/>
                <w:szCs w:val="18"/>
                <w:lang w:val="en-GB" w:eastAsia="lv-LV"/>
              </w:rPr>
              <w:t>2,1</w:t>
            </w:r>
          </w:p>
        </w:tc>
        <w:tc>
          <w:tcPr>
            <w:tcW w:w="119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0836B451" w14:textId="77777777" w:rsidR="00963BDD" w:rsidRPr="007504E6" w:rsidRDefault="00963BDD" w:rsidP="00963BDD">
            <w:pPr>
              <w:spacing w:line="240" w:lineRule="auto"/>
              <w:ind w:firstLine="0"/>
              <w:jc w:val="center"/>
              <w:rPr>
                <w:rFonts w:eastAsia="Times New Roman" w:cstheme="minorHAnsi"/>
                <w:color w:val="000000"/>
                <w:sz w:val="18"/>
                <w:szCs w:val="18"/>
                <w:lang w:val="en-GB" w:eastAsia="lv-LV"/>
              </w:rPr>
            </w:pPr>
            <w:r w:rsidRPr="007504E6">
              <w:rPr>
                <w:rFonts w:eastAsia="Times New Roman" w:cstheme="minorHAnsi"/>
                <w:color w:val="000000"/>
                <w:sz w:val="18"/>
                <w:szCs w:val="18"/>
                <w:lang w:val="en-GB" w:eastAsia="lv-LV"/>
              </w:rPr>
              <w:t>2,3</w:t>
            </w:r>
          </w:p>
        </w:tc>
      </w:tr>
      <w:tr w:rsidR="00963BDD" w:rsidRPr="007504E6" w14:paraId="115E65C9" w14:textId="77777777" w:rsidTr="00963BDD">
        <w:trPr>
          <w:trHeight w:val="288"/>
        </w:trPr>
        <w:tc>
          <w:tcPr>
            <w:tcW w:w="2410" w:type="dxa"/>
            <w:tcBorders>
              <w:top w:val="nil"/>
              <w:left w:val="nil"/>
              <w:bottom w:val="nil"/>
              <w:right w:val="single" w:sz="4" w:space="0" w:color="7F7F7F" w:themeColor="text1" w:themeTint="80"/>
            </w:tcBorders>
            <w:shd w:val="clear" w:color="auto" w:fill="auto"/>
            <w:noWrap/>
            <w:vAlign w:val="center"/>
            <w:hideMark/>
          </w:tcPr>
          <w:p w14:paraId="46998D07" w14:textId="77777777" w:rsidR="00963BDD" w:rsidRPr="007504E6" w:rsidRDefault="00963BDD" w:rsidP="00963BDD">
            <w:pPr>
              <w:spacing w:line="240" w:lineRule="auto"/>
              <w:ind w:firstLine="0"/>
              <w:jc w:val="right"/>
              <w:rPr>
                <w:rFonts w:eastAsia="Times New Roman" w:cstheme="minorHAnsi"/>
                <w:b/>
                <w:bCs/>
                <w:color w:val="000000"/>
                <w:sz w:val="18"/>
                <w:szCs w:val="18"/>
                <w:lang w:val="en-GB" w:eastAsia="lv-LV"/>
              </w:rPr>
            </w:pPr>
            <w:r w:rsidRPr="007504E6">
              <w:rPr>
                <w:rFonts w:eastAsia="Times New Roman" w:cstheme="minorHAnsi"/>
                <w:b/>
                <w:bCs/>
                <w:color w:val="000000"/>
                <w:sz w:val="18"/>
                <w:szCs w:val="18"/>
                <w:lang w:val="en-GB" w:eastAsia="lv-LV"/>
              </w:rPr>
              <w:t>Combined forecast</w:t>
            </w:r>
          </w:p>
        </w:tc>
        <w:tc>
          <w:tcPr>
            <w:tcW w:w="11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0BC41BDD" w14:textId="77777777" w:rsidR="00963BDD" w:rsidRPr="007504E6" w:rsidRDefault="00963BDD" w:rsidP="00963BDD">
            <w:pPr>
              <w:spacing w:line="240" w:lineRule="auto"/>
              <w:ind w:firstLine="0"/>
              <w:jc w:val="center"/>
              <w:rPr>
                <w:rFonts w:eastAsia="Times New Roman" w:cstheme="minorHAnsi"/>
                <w:b/>
                <w:bCs/>
                <w:color w:val="000000"/>
                <w:sz w:val="18"/>
                <w:szCs w:val="18"/>
                <w:lang w:val="en-GB" w:eastAsia="lv-LV"/>
              </w:rPr>
            </w:pPr>
            <w:r w:rsidRPr="007504E6">
              <w:rPr>
                <w:rFonts w:eastAsia="Times New Roman" w:cstheme="minorHAnsi"/>
                <w:b/>
                <w:bCs/>
                <w:color w:val="000000"/>
                <w:sz w:val="18"/>
                <w:szCs w:val="18"/>
                <w:lang w:val="en-GB" w:eastAsia="lv-LV"/>
              </w:rPr>
              <w:t>7,0</w:t>
            </w:r>
          </w:p>
        </w:tc>
        <w:tc>
          <w:tcPr>
            <w:tcW w:w="119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7D6DAA59" w14:textId="77777777" w:rsidR="00963BDD" w:rsidRPr="007504E6" w:rsidRDefault="00963BDD" w:rsidP="00963BDD">
            <w:pPr>
              <w:spacing w:line="240" w:lineRule="auto"/>
              <w:ind w:firstLine="0"/>
              <w:jc w:val="center"/>
              <w:rPr>
                <w:rFonts w:eastAsia="Times New Roman" w:cstheme="minorHAnsi"/>
                <w:b/>
                <w:bCs/>
                <w:color w:val="000000"/>
                <w:sz w:val="18"/>
                <w:szCs w:val="18"/>
                <w:lang w:val="en-GB" w:eastAsia="lv-LV"/>
              </w:rPr>
            </w:pPr>
            <w:r w:rsidRPr="007504E6">
              <w:rPr>
                <w:rFonts w:eastAsia="Times New Roman" w:cstheme="minorHAnsi"/>
                <w:b/>
                <w:bCs/>
                <w:color w:val="000000"/>
                <w:sz w:val="18"/>
                <w:szCs w:val="18"/>
                <w:lang w:val="en-GB" w:eastAsia="lv-LV"/>
              </w:rPr>
              <w:t>4,5</w:t>
            </w:r>
          </w:p>
        </w:tc>
        <w:tc>
          <w:tcPr>
            <w:tcW w:w="119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732D19F5" w14:textId="77777777" w:rsidR="00963BDD" w:rsidRPr="007504E6" w:rsidRDefault="00963BDD" w:rsidP="00963BDD">
            <w:pPr>
              <w:spacing w:line="240" w:lineRule="auto"/>
              <w:ind w:firstLine="0"/>
              <w:jc w:val="center"/>
              <w:rPr>
                <w:rFonts w:eastAsia="Times New Roman" w:cstheme="minorHAnsi"/>
                <w:b/>
                <w:bCs/>
                <w:color w:val="000000"/>
                <w:sz w:val="18"/>
                <w:szCs w:val="18"/>
                <w:lang w:val="en-GB" w:eastAsia="lv-LV"/>
              </w:rPr>
            </w:pPr>
            <w:r w:rsidRPr="007504E6">
              <w:rPr>
                <w:rFonts w:eastAsia="Times New Roman" w:cstheme="minorHAnsi"/>
                <w:b/>
                <w:bCs/>
                <w:color w:val="000000"/>
                <w:sz w:val="18"/>
                <w:szCs w:val="18"/>
                <w:lang w:val="en-GB" w:eastAsia="lv-LV"/>
              </w:rPr>
              <w:t>3,6</w:t>
            </w:r>
          </w:p>
        </w:tc>
        <w:tc>
          <w:tcPr>
            <w:tcW w:w="119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2449AF23" w14:textId="77777777" w:rsidR="00963BDD" w:rsidRPr="007504E6" w:rsidRDefault="00963BDD" w:rsidP="00963BDD">
            <w:pPr>
              <w:spacing w:line="240" w:lineRule="auto"/>
              <w:ind w:firstLine="0"/>
              <w:jc w:val="center"/>
              <w:rPr>
                <w:rFonts w:eastAsia="Times New Roman" w:cstheme="minorHAnsi"/>
                <w:b/>
                <w:bCs/>
                <w:color w:val="000000"/>
                <w:sz w:val="18"/>
                <w:szCs w:val="18"/>
                <w:lang w:val="en-GB" w:eastAsia="lv-LV"/>
              </w:rPr>
            </w:pPr>
            <w:r w:rsidRPr="007504E6">
              <w:rPr>
                <w:rFonts w:eastAsia="Times New Roman" w:cstheme="minorHAnsi"/>
                <w:b/>
                <w:bCs/>
                <w:color w:val="000000"/>
                <w:sz w:val="18"/>
                <w:szCs w:val="18"/>
                <w:lang w:val="en-GB" w:eastAsia="lv-LV"/>
              </w:rPr>
              <w:t>2,9</w:t>
            </w:r>
          </w:p>
        </w:tc>
        <w:tc>
          <w:tcPr>
            <w:tcW w:w="119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39D0912E" w14:textId="77777777" w:rsidR="00963BDD" w:rsidRPr="007504E6" w:rsidRDefault="00963BDD" w:rsidP="00963BDD">
            <w:pPr>
              <w:spacing w:line="240" w:lineRule="auto"/>
              <w:ind w:firstLine="0"/>
              <w:jc w:val="center"/>
              <w:rPr>
                <w:rFonts w:eastAsia="Times New Roman" w:cstheme="minorHAnsi"/>
                <w:b/>
                <w:bCs/>
                <w:color w:val="000000"/>
                <w:sz w:val="18"/>
                <w:szCs w:val="18"/>
                <w:lang w:val="en-GB" w:eastAsia="lv-LV"/>
              </w:rPr>
            </w:pPr>
            <w:r w:rsidRPr="007504E6">
              <w:rPr>
                <w:rFonts w:eastAsia="Times New Roman" w:cstheme="minorHAnsi"/>
                <w:b/>
                <w:bCs/>
                <w:color w:val="000000"/>
                <w:sz w:val="18"/>
                <w:szCs w:val="18"/>
                <w:lang w:val="en-GB" w:eastAsia="lv-LV"/>
              </w:rPr>
              <w:t>2,7</w:t>
            </w:r>
          </w:p>
        </w:tc>
      </w:tr>
      <w:tr w:rsidR="00963BDD" w:rsidRPr="007504E6" w14:paraId="70197C53" w14:textId="77777777" w:rsidTr="00963BDD">
        <w:trPr>
          <w:trHeight w:val="288"/>
        </w:trPr>
        <w:tc>
          <w:tcPr>
            <w:tcW w:w="2410" w:type="dxa"/>
            <w:tcBorders>
              <w:top w:val="nil"/>
              <w:left w:val="nil"/>
              <w:bottom w:val="nil"/>
              <w:right w:val="single" w:sz="4" w:space="0" w:color="7F7F7F" w:themeColor="text1" w:themeTint="80"/>
            </w:tcBorders>
            <w:shd w:val="clear" w:color="auto" w:fill="auto"/>
            <w:noWrap/>
            <w:vAlign w:val="center"/>
            <w:hideMark/>
          </w:tcPr>
          <w:p w14:paraId="6D737BDA" w14:textId="77777777" w:rsidR="00963BDD" w:rsidRPr="007504E6" w:rsidRDefault="00963BDD" w:rsidP="00963BDD">
            <w:pPr>
              <w:spacing w:line="240" w:lineRule="auto"/>
              <w:ind w:firstLine="0"/>
              <w:jc w:val="right"/>
              <w:rPr>
                <w:rFonts w:eastAsia="Times New Roman" w:cstheme="minorHAnsi"/>
                <w:color w:val="000000"/>
                <w:sz w:val="18"/>
                <w:szCs w:val="18"/>
                <w:lang w:val="en-GB" w:eastAsia="lv-LV"/>
              </w:rPr>
            </w:pPr>
            <w:r w:rsidRPr="007504E6">
              <w:rPr>
                <w:rFonts w:eastAsia="Times New Roman" w:cstheme="minorHAnsi"/>
                <w:color w:val="000000"/>
                <w:sz w:val="18"/>
                <w:szCs w:val="18"/>
                <w:lang w:val="en-GB" w:eastAsia="lv-LV"/>
              </w:rPr>
              <w:t>Expert forecast</w:t>
            </w:r>
          </w:p>
        </w:tc>
        <w:tc>
          <w:tcPr>
            <w:tcW w:w="11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02633E01" w14:textId="77777777" w:rsidR="00963BDD" w:rsidRPr="007504E6" w:rsidRDefault="00963BDD" w:rsidP="00963BDD">
            <w:pPr>
              <w:spacing w:line="240" w:lineRule="auto"/>
              <w:ind w:firstLine="0"/>
              <w:jc w:val="center"/>
              <w:rPr>
                <w:rFonts w:eastAsia="Times New Roman" w:cstheme="minorHAnsi"/>
                <w:color w:val="000000"/>
                <w:sz w:val="18"/>
                <w:szCs w:val="18"/>
                <w:lang w:val="en-GB" w:eastAsia="lv-LV"/>
              </w:rPr>
            </w:pPr>
            <w:r w:rsidRPr="007504E6">
              <w:rPr>
                <w:rFonts w:eastAsia="Times New Roman" w:cstheme="minorHAnsi"/>
                <w:color w:val="000000"/>
                <w:sz w:val="18"/>
                <w:szCs w:val="18"/>
                <w:lang w:val="en-GB" w:eastAsia="lv-LV"/>
              </w:rPr>
              <w:t>12,6</w:t>
            </w:r>
          </w:p>
        </w:tc>
        <w:tc>
          <w:tcPr>
            <w:tcW w:w="119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344E5DBE" w14:textId="77777777" w:rsidR="00963BDD" w:rsidRPr="007504E6" w:rsidRDefault="00963BDD" w:rsidP="00963BDD">
            <w:pPr>
              <w:spacing w:line="240" w:lineRule="auto"/>
              <w:ind w:firstLine="0"/>
              <w:jc w:val="center"/>
              <w:rPr>
                <w:rFonts w:eastAsia="Times New Roman" w:cstheme="minorHAnsi"/>
                <w:color w:val="000000"/>
                <w:sz w:val="18"/>
                <w:szCs w:val="18"/>
                <w:lang w:val="en-GB" w:eastAsia="lv-LV"/>
              </w:rPr>
            </w:pPr>
            <w:r w:rsidRPr="007504E6">
              <w:rPr>
                <w:rFonts w:eastAsia="Times New Roman" w:cstheme="minorHAnsi"/>
                <w:color w:val="000000"/>
                <w:sz w:val="18"/>
                <w:szCs w:val="18"/>
                <w:lang w:val="en-GB" w:eastAsia="lv-LV"/>
              </w:rPr>
              <w:t>7,3</w:t>
            </w:r>
          </w:p>
        </w:tc>
        <w:tc>
          <w:tcPr>
            <w:tcW w:w="119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3D6F1067" w14:textId="77777777" w:rsidR="00963BDD" w:rsidRPr="007504E6" w:rsidRDefault="00963BDD" w:rsidP="00963BDD">
            <w:pPr>
              <w:spacing w:line="240" w:lineRule="auto"/>
              <w:ind w:firstLine="0"/>
              <w:jc w:val="center"/>
              <w:rPr>
                <w:rFonts w:eastAsia="Times New Roman" w:cstheme="minorHAnsi"/>
                <w:color w:val="000000"/>
                <w:sz w:val="18"/>
                <w:szCs w:val="18"/>
                <w:lang w:val="en-GB" w:eastAsia="lv-LV"/>
              </w:rPr>
            </w:pPr>
            <w:r w:rsidRPr="007504E6">
              <w:rPr>
                <w:rFonts w:eastAsia="Times New Roman" w:cstheme="minorHAnsi"/>
                <w:color w:val="000000"/>
                <w:sz w:val="18"/>
                <w:szCs w:val="18"/>
                <w:lang w:val="en-GB" w:eastAsia="lv-LV"/>
              </w:rPr>
              <w:t>5,4</w:t>
            </w:r>
          </w:p>
        </w:tc>
        <w:tc>
          <w:tcPr>
            <w:tcW w:w="119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68D509BF" w14:textId="77777777" w:rsidR="00963BDD" w:rsidRPr="007504E6" w:rsidRDefault="00963BDD" w:rsidP="00963BDD">
            <w:pPr>
              <w:spacing w:line="240" w:lineRule="auto"/>
              <w:ind w:firstLine="0"/>
              <w:jc w:val="center"/>
              <w:rPr>
                <w:rFonts w:eastAsia="Times New Roman" w:cstheme="minorHAnsi"/>
                <w:color w:val="000000"/>
                <w:sz w:val="18"/>
                <w:szCs w:val="18"/>
                <w:lang w:val="en-GB" w:eastAsia="lv-LV"/>
              </w:rPr>
            </w:pPr>
            <w:r w:rsidRPr="007504E6">
              <w:rPr>
                <w:rFonts w:eastAsia="Times New Roman" w:cstheme="minorHAnsi"/>
                <w:color w:val="000000"/>
                <w:sz w:val="18"/>
                <w:szCs w:val="18"/>
                <w:lang w:val="en-GB" w:eastAsia="lv-LV"/>
              </w:rPr>
              <w:t>3,7</w:t>
            </w:r>
          </w:p>
        </w:tc>
        <w:tc>
          <w:tcPr>
            <w:tcW w:w="119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4FE3C56B" w14:textId="77777777" w:rsidR="00963BDD" w:rsidRPr="007504E6" w:rsidRDefault="00963BDD" w:rsidP="00963BDD">
            <w:pPr>
              <w:spacing w:line="240" w:lineRule="auto"/>
              <w:ind w:firstLine="0"/>
              <w:jc w:val="center"/>
              <w:rPr>
                <w:rFonts w:eastAsia="Times New Roman" w:cstheme="minorHAnsi"/>
                <w:color w:val="000000"/>
                <w:sz w:val="18"/>
                <w:szCs w:val="18"/>
                <w:lang w:val="en-GB" w:eastAsia="lv-LV"/>
              </w:rPr>
            </w:pPr>
            <w:r w:rsidRPr="007504E6">
              <w:rPr>
                <w:rFonts w:eastAsia="Times New Roman" w:cstheme="minorHAnsi"/>
                <w:color w:val="000000"/>
                <w:sz w:val="18"/>
                <w:szCs w:val="18"/>
                <w:lang w:val="en-GB" w:eastAsia="lv-LV"/>
              </w:rPr>
              <w:t>3,1</w:t>
            </w:r>
          </w:p>
        </w:tc>
      </w:tr>
    </w:tbl>
    <w:p w14:paraId="246174BE" w14:textId="77777777" w:rsidR="006056D8" w:rsidRPr="007504E6" w:rsidRDefault="006056D8" w:rsidP="00521077">
      <w:pPr>
        <w:keepNext/>
        <w:spacing w:line="276" w:lineRule="auto"/>
        <w:ind w:firstLine="0"/>
        <w:rPr>
          <w:rFonts w:ascii="Times New Roman" w:hAnsi="Times New Roman" w:cs="Times New Roman"/>
          <w:lang w:val="en-GB"/>
        </w:rPr>
      </w:pPr>
    </w:p>
    <w:p w14:paraId="5B7FEA13" w14:textId="0F1B3964" w:rsidR="00B06B82" w:rsidRPr="007504E6" w:rsidRDefault="00997A55" w:rsidP="001B0C98">
      <w:pPr>
        <w:pStyle w:val="Parakstszemobjekta"/>
        <w:jc w:val="center"/>
        <w:rPr>
          <w:rFonts w:ascii="Times New Roman" w:hAnsi="Times New Roman" w:cs="Times New Roman"/>
          <w:lang w:val="en-GB"/>
        </w:rPr>
      </w:pPr>
      <w:r w:rsidRPr="007504E6">
        <w:rPr>
          <w:lang w:val="en-GB"/>
        </w:rPr>
        <w:t>Fig</w:t>
      </w:r>
      <w:r w:rsidR="001B0C98" w:rsidRPr="007504E6">
        <w:rPr>
          <w:lang w:val="en-GB"/>
        </w:rPr>
        <w:t xml:space="preserve"> </w:t>
      </w:r>
      <w:r w:rsidR="00D64210" w:rsidRPr="007504E6">
        <w:rPr>
          <w:lang w:val="en-GB"/>
        </w:rPr>
        <w:fldChar w:fldCharType="begin"/>
      </w:r>
      <w:r w:rsidR="00D64210" w:rsidRPr="007504E6">
        <w:rPr>
          <w:lang w:val="en-GB"/>
        </w:rPr>
        <w:instrText xml:space="preserve"> SEQ Attēls \* ARABIC </w:instrText>
      </w:r>
      <w:r w:rsidR="00D64210" w:rsidRPr="007504E6">
        <w:rPr>
          <w:lang w:val="en-GB"/>
        </w:rPr>
        <w:fldChar w:fldCharType="separate"/>
      </w:r>
      <w:r w:rsidR="00D500F7">
        <w:rPr>
          <w:noProof/>
          <w:lang w:val="en-GB"/>
        </w:rPr>
        <w:t>10</w:t>
      </w:r>
      <w:r w:rsidR="00D64210" w:rsidRPr="007504E6">
        <w:rPr>
          <w:noProof/>
          <w:lang w:val="en-GB"/>
        </w:rPr>
        <w:fldChar w:fldCharType="end"/>
      </w:r>
      <w:r w:rsidR="001B0C98" w:rsidRPr="007504E6">
        <w:rPr>
          <w:lang w:val="en-GB"/>
        </w:rPr>
        <w:t xml:space="preserve">. </w:t>
      </w:r>
      <w:r w:rsidR="00B90A53" w:rsidRPr="007504E6">
        <w:rPr>
          <w:rFonts w:ascii="Times New Roman" w:hAnsi="Times New Roman" w:cs="Times New Roman"/>
          <w:lang w:val="en-GB"/>
        </w:rPr>
        <w:t>Percentage change in construction material costs compared to the previous year since 2011 and forecasts for 2021-2025</w:t>
      </w:r>
      <w:r w:rsidR="00D318B2" w:rsidRPr="007504E6">
        <w:rPr>
          <w:rFonts w:ascii="Times New Roman" w:hAnsi="Times New Roman" w:cs="Times New Roman"/>
          <w:lang w:val="en-GB"/>
        </w:rPr>
        <w:t>.</w:t>
      </w:r>
    </w:p>
    <w:p w14:paraId="33DDBDBD" w14:textId="4AC0FA82" w:rsidR="001C7E64" w:rsidRPr="007504E6" w:rsidRDefault="00B90A53" w:rsidP="00A53D37">
      <w:pPr>
        <w:spacing w:line="276" w:lineRule="auto"/>
        <w:ind w:firstLine="0"/>
        <w:rPr>
          <w:rFonts w:ascii="Times New Roman" w:hAnsi="Times New Roman" w:cs="Times New Roman"/>
          <w:lang w:val="en-GB"/>
        </w:rPr>
      </w:pPr>
      <w:r w:rsidRPr="007504E6">
        <w:rPr>
          <w:rFonts w:ascii="Times New Roman" w:hAnsi="Times New Roman" w:cs="Times New Roman"/>
          <w:lang w:val="en-GB"/>
        </w:rPr>
        <w:t xml:space="preserve">The opposite situation is observed in the context of workers' </w:t>
      </w:r>
      <w:proofErr w:type="spellStart"/>
      <w:r w:rsidRPr="007504E6">
        <w:rPr>
          <w:rFonts w:ascii="Times New Roman" w:hAnsi="Times New Roman" w:cs="Times New Roman"/>
          <w:lang w:val="en-GB"/>
        </w:rPr>
        <w:t>labor</w:t>
      </w:r>
      <w:proofErr w:type="spellEnd"/>
      <w:r w:rsidRPr="007504E6">
        <w:rPr>
          <w:rFonts w:ascii="Times New Roman" w:hAnsi="Times New Roman" w:cs="Times New Roman"/>
          <w:lang w:val="en-GB"/>
        </w:rPr>
        <w:t xml:space="preserve"> costs - the opinions of experts coincide very closely with the obtained statistical forecast for 2021 and 2022. Thus, it can be relatively unanimously assumed that workers' </w:t>
      </w:r>
      <w:proofErr w:type="spellStart"/>
      <w:r w:rsidRPr="007504E6">
        <w:rPr>
          <w:rFonts w:ascii="Times New Roman" w:hAnsi="Times New Roman" w:cs="Times New Roman"/>
          <w:lang w:val="en-GB"/>
        </w:rPr>
        <w:t>labor</w:t>
      </w:r>
      <w:proofErr w:type="spellEnd"/>
      <w:r w:rsidRPr="007504E6">
        <w:rPr>
          <w:rFonts w:ascii="Times New Roman" w:hAnsi="Times New Roman" w:cs="Times New Roman"/>
          <w:lang w:val="en-GB"/>
        </w:rPr>
        <w:t xml:space="preserve"> costs could increase by 7.1% in 2021 and 7.4% in 2022. In subsequent periods, the increase in annual workers' wages will not exceed 7% per year. In essence, it can be argued that over the next five years, according to the current assessment, similar trends are expected to prevail in the area of workers' wages </w:t>
      </w:r>
      <w:r w:rsidR="009D3523" w:rsidRPr="007504E6">
        <w:rPr>
          <w:rFonts w:ascii="Times New Roman" w:hAnsi="Times New Roman" w:cs="Times New Roman"/>
          <w:lang w:val="en-GB"/>
        </w:rPr>
        <w:t>as in 2013</w:t>
      </w:r>
      <w:r w:rsidR="00FE2F60" w:rsidRPr="007504E6">
        <w:rPr>
          <w:rFonts w:ascii="Times New Roman" w:hAnsi="Times New Roman" w:cs="Times New Roman"/>
          <w:lang w:val="en-GB"/>
        </w:rPr>
        <w:t>.</w:t>
      </w:r>
    </w:p>
    <w:p w14:paraId="6BBE8E40" w14:textId="77777777" w:rsidR="00B90A53" w:rsidRPr="007504E6" w:rsidRDefault="00B90A53" w:rsidP="00A53D37">
      <w:pPr>
        <w:spacing w:line="276" w:lineRule="auto"/>
        <w:ind w:firstLine="0"/>
        <w:rPr>
          <w:rFonts w:ascii="Times New Roman" w:hAnsi="Times New Roman" w:cs="Times New Roman"/>
          <w:lang w:val="en-GB"/>
        </w:rPr>
      </w:pPr>
    </w:p>
    <w:p w14:paraId="29DA146D" w14:textId="139129A7" w:rsidR="00D318B2" w:rsidRPr="007504E6" w:rsidRDefault="009B6944" w:rsidP="00521077">
      <w:pPr>
        <w:keepNext/>
        <w:spacing w:line="276" w:lineRule="auto"/>
        <w:ind w:firstLine="0"/>
        <w:rPr>
          <w:rFonts w:ascii="Times New Roman" w:hAnsi="Times New Roman" w:cs="Times New Roman"/>
          <w:lang w:val="en-GB"/>
        </w:rPr>
      </w:pPr>
      <w:r w:rsidRPr="007504E6">
        <w:rPr>
          <w:noProof/>
          <w:lang w:val="en-GB"/>
        </w:rPr>
        <w:drawing>
          <wp:inline distT="0" distB="0" distL="0" distR="0" wp14:anchorId="16EFD636" wp14:editId="1B09555A">
            <wp:extent cx="5516880" cy="2476500"/>
            <wp:effectExtent l="0" t="0" r="7620" b="0"/>
            <wp:docPr id="225" name="Chart 225">
              <a:extLst xmlns:a="http://schemas.openxmlformats.org/drawingml/2006/main">
                <a:ext uri="{FF2B5EF4-FFF2-40B4-BE49-F238E27FC236}">
                  <a16:creationId xmlns:a16="http://schemas.microsoft.com/office/drawing/2014/main" id="{3A799905-5E91-4A76-944A-90D1A8F8DB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bl>
      <w:tblPr>
        <w:tblW w:w="9334" w:type="dxa"/>
        <w:tblLayout w:type="fixed"/>
        <w:tblLook w:val="04A0" w:firstRow="1" w:lastRow="0" w:firstColumn="1" w:lastColumn="0" w:noHBand="0" w:noVBand="1"/>
      </w:tblPr>
      <w:tblGrid>
        <w:gridCol w:w="2410"/>
        <w:gridCol w:w="1384"/>
        <w:gridCol w:w="1385"/>
        <w:gridCol w:w="1385"/>
        <w:gridCol w:w="1385"/>
        <w:gridCol w:w="1385"/>
      </w:tblGrid>
      <w:tr w:rsidR="00DB257F" w:rsidRPr="007504E6" w14:paraId="3D08C923" w14:textId="77777777" w:rsidTr="00DB257F">
        <w:trPr>
          <w:trHeight w:val="288"/>
        </w:trPr>
        <w:tc>
          <w:tcPr>
            <w:tcW w:w="2410" w:type="dxa"/>
            <w:tcBorders>
              <w:top w:val="nil"/>
              <w:left w:val="nil"/>
              <w:bottom w:val="nil"/>
              <w:right w:val="nil"/>
            </w:tcBorders>
            <w:shd w:val="clear" w:color="auto" w:fill="auto"/>
            <w:noWrap/>
            <w:vAlign w:val="bottom"/>
            <w:hideMark/>
          </w:tcPr>
          <w:p w14:paraId="70D7C69E" w14:textId="77777777" w:rsidR="00DB257F" w:rsidRPr="007504E6" w:rsidRDefault="00DB257F" w:rsidP="00DB257F">
            <w:pPr>
              <w:spacing w:line="240" w:lineRule="auto"/>
              <w:ind w:firstLine="0"/>
              <w:jc w:val="left"/>
              <w:rPr>
                <w:rFonts w:eastAsia="Times New Roman" w:cstheme="minorHAnsi"/>
                <w:sz w:val="18"/>
                <w:szCs w:val="18"/>
                <w:lang w:val="en-GB" w:eastAsia="lv-LV"/>
              </w:rPr>
            </w:pPr>
          </w:p>
        </w:tc>
        <w:tc>
          <w:tcPr>
            <w:tcW w:w="1384" w:type="dxa"/>
            <w:tcBorders>
              <w:top w:val="nil"/>
              <w:left w:val="nil"/>
              <w:bottom w:val="single" w:sz="4" w:space="0" w:color="7F7F7F" w:themeColor="text1" w:themeTint="80"/>
              <w:right w:val="nil"/>
            </w:tcBorders>
            <w:shd w:val="clear" w:color="auto" w:fill="auto"/>
            <w:noWrap/>
            <w:vAlign w:val="center"/>
            <w:hideMark/>
          </w:tcPr>
          <w:p w14:paraId="20EB9DDA" w14:textId="77777777" w:rsidR="00DB257F" w:rsidRPr="007504E6" w:rsidRDefault="00DB257F" w:rsidP="00DB257F">
            <w:pPr>
              <w:spacing w:line="240" w:lineRule="auto"/>
              <w:ind w:firstLine="0"/>
              <w:jc w:val="center"/>
              <w:rPr>
                <w:rFonts w:eastAsia="Times New Roman" w:cstheme="minorHAnsi"/>
                <w:color w:val="000000"/>
                <w:sz w:val="18"/>
                <w:szCs w:val="18"/>
                <w:lang w:val="en-GB" w:eastAsia="lv-LV"/>
              </w:rPr>
            </w:pPr>
            <w:r w:rsidRPr="007504E6">
              <w:rPr>
                <w:rFonts w:eastAsia="Times New Roman" w:cstheme="minorHAnsi"/>
                <w:color w:val="000000"/>
                <w:sz w:val="18"/>
                <w:szCs w:val="18"/>
                <w:lang w:val="en-GB" w:eastAsia="lv-LV"/>
              </w:rPr>
              <w:t>2021.</w:t>
            </w:r>
          </w:p>
        </w:tc>
        <w:tc>
          <w:tcPr>
            <w:tcW w:w="1385" w:type="dxa"/>
            <w:tcBorders>
              <w:top w:val="nil"/>
              <w:left w:val="nil"/>
              <w:bottom w:val="single" w:sz="4" w:space="0" w:color="7F7F7F" w:themeColor="text1" w:themeTint="80"/>
              <w:right w:val="nil"/>
            </w:tcBorders>
            <w:shd w:val="clear" w:color="auto" w:fill="auto"/>
            <w:noWrap/>
            <w:vAlign w:val="center"/>
            <w:hideMark/>
          </w:tcPr>
          <w:p w14:paraId="0A1370D1" w14:textId="77777777" w:rsidR="00DB257F" w:rsidRPr="007504E6" w:rsidRDefault="00DB257F" w:rsidP="00DB257F">
            <w:pPr>
              <w:spacing w:line="240" w:lineRule="auto"/>
              <w:ind w:firstLine="0"/>
              <w:jc w:val="center"/>
              <w:rPr>
                <w:rFonts w:eastAsia="Times New Roman" w:cstheme="minorHAnsi"/>
                <w:color w:val="000000"/>
                <w:sz w:val="18"/>
                <w:szCs w:val="18"/>
                <w:lang w:val="en-GB" w:eastAsia="lv-LV"/>
              </w:rPr>
            </w:pPr>
            <w:r w:rsidRPr="007504E6">
              <w:rPr>
                <w:rFonts w:eastAsia="Times New Roman" w:cstheme="minorHAnsi"/>
                <w:color w:val="000000"/>
                <w:sz w:val="18"/>
                <w:szCs w:val="18"/>
                <w:lang w:val="en-GB" w:eastAsia="lv-LV"/>
              </w:rPr>
              <w:t>2022.</w:t>
            </w:r>
          </w:p>
        </w:tc>
        <w:tc>
          <w:tcPr>
            <w:tcW w:w="1385" w:type="dxa"/>
            <w:tcBorders>
              <w:top w:val="nil"/>
              <w:left w:val="nil"/>
              <w:bottom w:val="single" w:sz="4" w:space="0" w:color="7F7F7F" w:themeColor="text1" w:themeTint="80"/>
              <w:right w:val="nil"/>
            </w:tcBorders>
            <w:shd w:val="clear" w:color="auto" w:fill="auto"/>
            <w:noWrap/>
            <w:vAlign w:val="center"/>
            <w:hideMark/>
          </w:tcPr>
          <w:p w14:paraId="26DBB361" w14:textId="77777777" w:rsidR="00DB257F" w:rsidRPr="007504E6" w:rsidRDefault="00DB257F" w:rsidP="00DB257F">
            <w:pPr>
              <w:spacing w:line="240" w:lineRule="auto"/>
              <w:ind w:firstLine="0"/>
              <w:jc w:val="center"/>
              <w:rPr>
                <w:rFonts w:eastAsia="Times New Roman" w:cstheme="minorHAnsi"/>
                <w:color w:val="000000"/>
                <w:sz w:val="18"/>
                <w:szCs w:val="18"/>
                <w:lang w:val="en-GB" w:eastAsia="lv-LV"/>
              </w:rPr>
            </w:pPr>
            <w:r w:rsidRPr="007504E6">
              <w:rPr>
                <w:rFonts w:eastAsia="Times New Roman" w:cstheme="minorHAnsi"/>
                <w:color w:val="000000"/>
                <w:sz w:val="18"/>
                <w:szCs w:val="18"/>
                <w:lang w:val="en-GB" w:eastAsia="lv-LV"/>
              </w:rPr>
              <w:t>2023.</w:t>
            </w:r>
          </w:p>
        </w:tc>
        <w:tc>
          <w:tcPr>
            <w:tcW w:w="1385" w:type="dxa"/>
            <w:tcBorders>
              <w:top w:val="nil"/>
              <w:left w:val="nil"/>
              <w:bottom w:val="single" w:sz="4" w:space="0" w:color="7F7F7F" w:themeColor="text1" w:themeTint="80"/>
              <w:right w:val="nil"/>
            </w:tcBorders>
            <w:shd w:val="clear" w:color="auto" w:fill="auto"/>
            <w:noWrap/>
            <w:vAlign w:val="center"/>
            <w:hideMark/>
          </w:tcPr>
          <w:p w14:paraId="557D6595" w14:textId="77777777" w:rsidR="00DB257F" w:rsidRPr="007504E6" w:rsidRDefault="00DB257F" w:rsidP="00DB257F">
            <w:pPr>
              <w:spacing w:line="240" w:lineRule="auto"/>
              <w:ind w:firstLine="0"/>
              <w:jc w:val="center"/>
              <w:rPr>
                <w:rFonts w:eastAsia="Times New Roman" w:cstheme="minorHAnsi"/>
                <w:color w:val="000000"/>
                <w:sz w:val="18"/>
                <w:szCs w:val="18"/>
                <w:lang w:val="en-GB" w:eastAsia="lv-LV"/>
              </w:rPr>
            </w:pPr>
            <w:r w:rsidRPr="007504E6">
              <w:rPr>
                <w:rFonts w:eastAsia="Times New Roman" w:cstheme="minorHAnsi"/>
                <w:color w:val="000000"/>
                <w:sz w:val="18"/>
                <w:szCs w:val="18"/>
                <w:lang w:val="en-GB" w:eastAsia="lv-LV"/>
              </w:rPr>
              <w:t>2024.</w:t>
            </w:r>
          </w:p>
        </w:tc>
        <w:tc>
          <w:tcPr>
            <w:tcW w:w="1385" w:type="dxa"/>
            <w:tcBorders>
              <w:top w:val="nil"/>
              <w:left w:val="nil"/>
              <w:bottom w:val="single" w:sz="4" w:space="0" w:color="7F7F7F" w:themeColor="text1" w:themeTint="80"/>
              <w:right w:val="nil"/>
            </w:tcBorders>
            <w:shd w:val="clear" w:color="auto" w:fill="auto"/>
            <w:noWrap/>
            <w:vAlign w:val="center"/>
            <w:hideMark/>
          </w:tcPr>
          <w:p w14:paraId="46AEDAB2" w14:textId="77777777" w:rsidR="00DB257F" w:rsidRPr="007504E6" w:rsidRDefault="00DB257F" w:rsidP="00DB257F">
            <w:pPr>
              <w:spacing w:line="240" w:lineRule="auto"/>
              <w:ind w:firstLine="0"/>
              <w:jc w:val="center"/>
              <w:rPr>
                <w:rFonts w:eastAsia="Times New Roman" w:cstheme="minorHAnsi"/>
                <w:color w:val="000000"/>
                <w:sz w:val="18"/>
                <w:szCs w:val="18"/>
                <w:lang w:val="en-GB" w:eastAsia="lv-LV"/>
              </w:rPr>
            </w:pPr>
            <w:r w:rsidRPr="007504E6">
              <w:rPr>
                <w:rFonts w:eastAsia="Times New Roman" w:cstheme="minorHAnsi"/>
                <w:color w:val="000000"/>
                <w:sz w:val="18"/>
                <w:szCs w:val="18"/>
                <w:lang w:val="en-GB" w:eastAsia="lv-LV"/>
              </w:rPr>
              <w:t>2025.</w:t>
            </w:r>
          </w:p>
        </w:tc>
      </w:tr>
      <w:tr w:rsidR="00DB257F" w:rsidRPr="007504E6" w14:paraId="427E7EED" w14:textId="77777777" w:rsidTr="00DB257F">
        <w:trPr>
          <w:trHeight w:val="288"/>
        </w:trPr>
        <w:tc>
          <w:tcPr>
            <w:tcW w:w="2410" w:type="dxa"/>
            <w:tcBorders>
              <w:top w:val="nil"/>
              <w:left w:val="nil"/>
              <w:bottom w:val="nil"/>
              <w:right w:val="single" w:sz="4" w:space="0" w:color="7F7F7F" w:themeColor="text1" w:themeTint="80"/>
            </w:tcBorders>
            <w:shd w:val="clear" w:color="auto" w:fill="auto"/>
            <w:noWrap/>
            <w:vAlign w:val="center"/>
            <w:hideMark/>
          </w:tcPr>
          <w:p w14:paraId="151921D4" w14:textId="77777777" w:rsidR="00DB257F" w:rsidRPr="007504E6" w:rsidRDefault="00DB257F" w:rsidP="00DB257F">
            <w:pPr>
              <w:spacing w:line="240" w:lineRule="auto"/>
              <w:ind w:firstLine="0"/>
              <w:jc w:val="right"/>
              <w:rPr>
                <w:rFonts w:eastAsia="Times New Roman" w:cstheme="minorHAnsi"/>
                <w:color w:val="000000"/>
                <w:sz w:val="18"/>
                <w:szCs w:val="18"/>
                <w:lang w:val="en-GB" w:eastAsia="lv-LV"/>
              </w:rPr>
            </w:pPr>
            <w:r w:rsidRPr="007504E6">
              <w:rPr>
                <w:rFonts w:eastAsia="Times New Roman" w:cstheme="minorHAnsi"/>
                <w:color w:val="000000"/>
                <w:sz w:val="18"/>
                <w:szCs w:val="18"/>
                <w:lang w:val="en-GB" w:eastAsia="lv-LV"/>
              </w:rPr>
              <w:t>Statistical forecast</w:t>
            </w:r>
          </w:p>
        </w:tc>
        <w:tc>
          <w:tcPr>
            <w:tcW w:w="13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00337AE4" w14:textId="77777777" w:rsidR="00DB257F" w:rsidRPr="007504E6" w:rsidRDefault="00DB257F" w:rsidP="00DB257F">
            <w:pPr>
              <w:spacing w:line="240" w:lineRule="auto"/>
              <w:ind w:firstLine="0"/>
              <w:jc w:val="center"/>
              <w:rPr>
                <w:rFonts w:eastAsia="Times New Roman" w:cstheme="minorHAnsi"/>
                <w:color w:val="000000"/>
                <w:sz w:val="18"/>
                <w:szCs w:val="18"/>
                <w:lang w:val="en-GB" w:eastAsia="lv-LV"/>
              </w:rPr>
            </w:pPr>
            <w:r w:rsidRPr="007504E6">
              <w:rPr>
                <w:rFonts w:eastAsia="Times New Roman" w:cstheme="minorHAnsi"/>
                <w:color w:val="000000"/>
                <w:sz w:val="18"/>
                <w:szCs w:val="18"/>
                <w:lang w:val="en-GB" w:eastAsia="lv-LV"/>
              </w:rPr>
              <w:t>7,1</w:t>
            </w:r>
          </w:p>
        </w:tc>
        <w:tc>
          <w:tcPr>
            <w:tcW w:w="13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51FE2B22" w14:textId="77777777" w:rsidR="00DB257F" w:rsidRPr="007504E6" w:rsidRDefault="00DB257F" w:rsidP="00DB257F">
            <w:pPr>
              <w:spacing w:line="240" w:lineRule="auto"/>
              <w:ind w:firstLine="0"/>
              <w:jc w:val="center"/>
              <w:rPr>
                <w:rFonts w:eastAsia="Times New Roman" w:cstheme="minorHAnsi"/>
                <w:color w:val="000000"/>
                <w:sz w:val="18"/>
                <w:szCs w:val="18"/>
                <w:lang w:val="en-GB" w:eastAsia="lv-LV"/>
              </w:rPr>
            </w:pPr>
            <w:r w:rsidRPr="007504E6">
              <w:rPr>
                <w:rFonts w:eastAsia="Times New Roman" w:cstheme="minorHAnsi"/>
                <w:color w:val="000000"/>
                <w:sz w:val="18"/>
                <w:szCs w:val="18"/>
                <w:lang w:val="en-GB" w:eastAsia="lv-LV"/>
              </w:rPr>
              <w:t>7,2</w:t>
            </w:r>
          </w:p>
        </w:tc>
        <w:tc>
          <w:tcPr>
            <w:tcW w:w="13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1EC99AEF" w14:textId="77777777" w:rsidR="00DB257F" w:rsidRPr="007504E6" w:rsidRDefault="00DB257F" w:rsidP="00DB257F">
            <w:pPr>
              <w:spacing w:line="240" w:lineRule="auto"/>
              <w:ind w:firstLine="0"/>
              <w:jc w:val="center"/>
              <w:rPr>
                <w:rFonts w:eastAsia="Times New Roman" w:cstheme="minorHAnsi"/>
                <w:color w:val="000000"/>
                <w:sz w:val="18"/>
                <w:szCs w:val="18"/>
                <w:lang w:val="en-GB" w:eastAsia="lv-LV"/>
              </w:rPr>
            </w:pPr>
            <w:r w:rsidRPr="007504E6">
              <w:rPr>
                <w:rFonts w:eastAsia="Times New Roman" w:cstheme="minorHAnsi"/>
                <w:color w:val="000000"/>
                <w:sz w:val="18"/>
                <w:szCs w:val="18"/>
                <w:lang w:val="en-GB" w:eastAsia="lv-LV"/>
              </w:rPr>
              <w:t>7,3</w:t>
            </w:r>
          </w:p>
        </w:tc>
        <w:tc>
          <w:tcPr>
            <w:tcW w:w="13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3749940C" w14:textId="77777777" w:rsidR="00DB257F" w:rsidRPr="007504E6" w:rsidRDefault="00DB257F" w:rsidP="00DB257F">
            <w:pPr>
              <w:spacing w:line="240" w:lineRule="auto"/>
              <w:ind w:firstLine="0"/>
              <w:jc w:val="center"/>
              <w:rPr>
                <w:rFonts w:eastAsia="Times New Roman" w:cstheme="minorHAnsi"/>
                <w:color w:val="000000"/>
                <w:sz w:val="18"/>
                <w:szCs w:val="18"/>
                <w:lang w:val="en-GB" w:eastAsia="lv-LV"/>
              </w:rPr>
            </w:pPr>
            <w:r w:rsidRPr="007504E6">
              <w:rPr>
                <w:rFonts w:eastAsia="Times New Roman" w:cstheme="minorHAnsi"/>
                <w:color w:val="000000"/>
                <w:sz w:val="18"/>
                <w:szCs w:val="18"/>
                <w:lang w:val="en-GB" w:eastAsia="lv-LV"/>
              </w:rPr>
              <w:t>7,4</w:t>
            </w:r>
          </w:p>
        </w:tc>
        <w:tc>
          <w:tcPr>
            <w:tcW w:w="13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1CC1664E" w14:textId="77777777" w:rsidR="00DB257F" w:rsidRPr="007504E6" w:rsidRDefault="00DB257F" w:rsidP="00DB257F">
            <w:pPr>
              <w:spacing w:line="240" w:lineRule="auto"/>
              <w:ind w:firstLine="0"/>
              <w:jc w:val="center"/>
              <w:rPr>
                <w:rFonts w:eastAsia="Times New Roman" w:cstheme="minorHAnsi"/>
                <w:color w:val="000000"/>
                <w:sz w:val="18"/>
                <w:szCs w:val="18"/>
                <w:lang w:val="en-GB" w:eastAsia="lv-LV"/>
              </w:rPr>
            </w:pPr>
            <w:r w:rsidRPr="007504E6">
              <w:rPr>
                <w:rFonts w:eastAsia="Times New Roman" w:cstheme="minorHAnsi"/>
                <w:color w:val="000000"/>
                <w:sz w:val="18"/>
                <w:szCs w:val="18"/>
                <w:lang w:val="en-GB" w:eastAsia="lv-LV"/>
              </w:rPr>
              <w:t>7,4</w:t>
            </w:r>
          </w:p>
        </w:tc>
      </w:tr>
      <w:tr w:rsidR="00DB257F" w:rsidRPr="007504E6" w14:paraId="5B28C8F5" w14:textId="77777777" w:rsidTr="00DB257F">
        <w:trPr>
          <w:trHeight w:val="288"/>
        </w:trPr>
        <w:tc>
          <w:tcPr>
            <w:tcW w:w="2410" w:type="dxa"/>
            <w:tcBorders>
              <w:top w:val="nil"/>
              <w:left w:val="nil"/>
              <w:bottom w:val="nil"/>
              <w:right w:val="single" w:sz="4" w:space="0" w:color="7F7F7F" w:themeColor="text1" w:themeTint="80"/>
            </w:tcBorders>
            <w:shd w:val="clear" w:color="auto" w:fill="auto"/>
            <w:noWrap/>
            <w:vAlign w:val="center"/>
            <w:hideMark/>
          </w:tcPr>
          <w:p w14:paraId="09D8139B" w14:textId="77777777" w:rsidR="00DB257F" w:rsidRPr="007504E6" w:rsidRDefault="00DB257F" w:rsidP="00DB257F">
            <w:pPr>
              <w:spacing w:line="240" w:lineRule="auto"/>
              <w:ind w:firstLine="0"/>
              <w:jc w:val="right"/>
              <w:rPr>
                <w:rFonts w:eastAsia="Times New Roman" w:cstheme="minorHAnsi"/>
                <w:b/>
                <w:bCs/>
                <w:color w:val="000000"/>
                <w:sz w:val="18"/>
                <w:szCs w:val="18"/>
                <w:lang w:val="en-GB" w:eastAsia="lv-LV"/>
              </w:rPr>
            </w:pPr>
            <w:r w:rsidRPr="007504E6">
              <w:rPr>
                <w:rFonts w:eastAsia="Times New Roman" w:cstheme="minorHAnsi"/>
                <w:b/>
                <w:bCs/>
                <w:color w:val="000000"/>
                <w:sz w:val="18"/>
                <w:szCs w:val="18"/>
                <w:lang w:val="en-GB" w:eastAsia="lv-LV"/>
              </w:rPr>
              <w:t>Combined forecast</w:t>
            </w:r>
          </w:p>
        </w:tc>
        <w:tc>
          <w:tcPr>
            <w:tcW w:w="13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4174DC0D" w14:textId="77777777" w:rsidR="00DB257F" w:rsidRPr="007504E6" w:rsidRDefault="00DB257F" w:rsidP="00DB257F">
            <w:pPr>
              <w:spacing w:line="240" w:lineRule="auto"/>
              <w:ind w:firstLine="0"/>
              <w:jc w:val="center"/>
              <w:rPr>
                <w:rFonts w:eastAsia="Times New Roman" w:cstheme="minorHAnsi"/>
                <w:b/>
                <w:bCs/>
                <w:color w:val="000000"/>
                <w:sz w:val="18"/>
                <w:szCs w:val="18"/>
                <w:lang w:val="en-GB" w:eastAsia="lv-LV"/>
              </w:rPr>
            </w:pPr>
            <w:r w:rsidRPr="007504E6">
              <w:rPr>
                <w:rFonts w:eastAsia="Times New Roman" w:cstheme="minorHAnsi"/>
                <w:b/>
                <w:bCs/>
                <w:color w:val="000000"/>
                <w:sz w:val="18"/>
                <w:szCs w:val="18"/>
                <w:lang w:val="en-GB" w:eastAsia="lv-LV"/>
              </w:rPr>
              <w:t>7,1</w:t>
            </w:r>
          </w:p>
        </w:tc>
        <w:tc>
          <w:tcPr>
            <w:tcW w:w="13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3B2AC826" w14:textId="77777777" w:rsidR="00DB257F" w:rsidRPr="007504E6" w:rsidRDefault="00DB257F" w:rsidP="00DB257F">
            <w:pPr>
              <w:spacing w:line="240" w:lineRule="auto"/>
              <w:ind w:firstLine="0"/>
              <w:jc w:val="center"/>
              <w:rPr>
                <w:rFonts w:eastAsia="Times New Roman" w:cstheme="minorHAnsi"/>
                <w:b/>
                <w:bCs/>
                <w:color w:val="000000"/>
                <w:sz w:val="18"/>
                <w:szCs w:val="18"/>
                <w:lang w:val="en-GB" w:eastAsia="lv-LV"/>
              </w:rPr>
            </w:pPr>
            <w:r w:rsidRPr="007504E6">
              <w:rPr>
                <w:rFonts w:eastAsia="Times New Roman" w:cstheme="minorHAnsi"/>
                <w:b/>
                <w:bCs/>
                <w:color w:val="000000"/>
                <w:sz w:val="18"/>
                <w:szCs w:val="18"/>
                <w:lang w:val="en-GB" w:eastAsia="lv-LV"/>
              </w:rPr>
              <w:t>7,4</w:t>
            </w:r>
          </w:p>
        </w:tc>
        <w:tc>
          <w:tcPr>
            <w:tcW w:w="13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734D2315" w14:textId="77777777" w:rsidR="00DB257F" w:rsidRPr="007504E6" w:rsidRDefault="00DB257F" w:rsidP="00DB257F">
            <w:pPr>
              <w:spacing w:line="240" w:lineRule="auto"/>
              <w:ind w:firstLine="0"/>
              <w:jc w:val="center"/>
              <w:rPr>
                <w:rFonts w:eastAsia="Times New Roman" w:cstheme="minorHAnsi"/>
                <w:b/>
                <w:bCs/>
                <w:color w:val="000000"/>
                <w:sz w:val="18"/>
                <w:szCs w:val="18"/>
                <w:lang w:val="en-GB" w:eastAsia="lv-LV"/>
              </w:rPr>
            </w:pPr>
            <w:r w:rsidRPr="007504E6">
              <w:rPr>
                <w:rFonts w:eastAsia="Times New Roman" w:cstheme="minorHAnsi"/>
                <w:b/>
                <w:bCs/>
                <w:color w:val="000000"/>
                <w:sz w:val="18"/>
                <w:szCs w:val="18"/>
                <w:lang w:val="en-GB" w:eastAsia="lv-LV"/>
              </w:rPr>
              <w:t>6,9</w:t>
            </w:r>
          </w:p>
        </w:tc>
        <w:tc>
          <w:tcPr>
            <w:tcW w:w="13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7147CF31" w14:textId="77777777" w:rsidR="00DB257F" w:rsidRPr="007504E6" w:rsidRDefault="00DB257F" w:rsidP="00DB257F">
            <w:pPr>
              <w:spacing w:line="240" w:lineRule="auto"/>
              <w:ind w:firstLine="0"/>
              <w:jc w:val="center"/>
              <w:rPr>
                <w:rFonts w:eastAsia="Times New Roman" w:cstheme="minorHAnsi"/>
                <w:b/>
                <w:bCs/>
                <w:color w:val="000000"/>
                <w:sz w:val="18"/>
                <w:szCs w:val="18"/>
                <w:lang w:val="en-GB" w:eastAsia="lv-LV"/>
              </w:rPr>
            </w:pPr>
            <w:r w:rsidRPr="007504E6">
              <w:rPr>
                <w:rFonts w:eastAsia="Times New Roman" w:cstheme="minorHAnsi"/>
                <w:b/>
                <w:bCs/>
                <w:color w:val="000000"/>
                <w:sz w:val="18"/>
                <w:szCs w:val="18"/>
                <w:lang w:val="en-GB" w:eastAsia="lv-LV"/>
              </w:rPr>
              <w:t>6,4</w:t>
            </w:r>
          </w:p>
        </w:tc>
        <w:tc>
          <w:tcPr>
            <w:tcW w:w="13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6AE480A9" w14:textId="77777777" w:rsidR="00DB257F" w:rsidRPr="007504E6" w:rsidRDefault="00DB257F" w:rsidP="00DB257F">
            <w:pPr>
              <w:spacing w:line="240" w:lineRule="auto"/>
              <w:ind w:firstLine="0"/>
              <w:jc w:val="center"/>
              <w:rPr>
                <w:rFonts w:eastAsia="Times New Roman" w:cstheme="minorHAnsi"/>
                <w:b/>
                <w:bCs/>
                <w:color w:val="000000"/>
                <w:sz w:val="18"/>
                <w:szCs w:val="18"/>
                <w:lang w:val="en-GB" w:eastAsia="lv-LV"/>
              </w:rPr>
            </w:pPr>
            <w:r w:rsidRPr="007504E6">
              <w:rPr>
                <w:rFonts w:eastAsia="Times New Roman" w:cstheme="minorHAnsi"/>
                <w:b/>
                <w:bCs/>
                <w:color w:val="000000"/>
                <w:sz w:val="18"/>
                <w:szCs w:val="18"/>
                <w:lang w:val="en-GB" w:eastAsia="lv-LV"/>
              </w:rPr>
              <w:t>6,2</w:t>
            </w:r>
          </w:p>
        </w:tc>
      </w:tr>
      <w:tr w:rsidR="00DB257F" w:rsidRPr="007504E6" w14:paraId="13789509" w14:textId="77777777" w:rsidTr="00DB257F">
        <w:trPr>
          <w:trHeight w:val="288"/>
        </w:trPr>
        <w:tc>
          <w:tcPr>
            <w:tcW w:w="2410" w:type="dxa"/>
            <w:tcBorders>
              <w:top w:val="nil"/>
              <w:left w:val="nil"/>
              <w:bottom w:val="nil"/>
              <w:right w:val="single" w:sz="4" w:space="0" w:color="7F7F7F" w:themeColor="text1" w:themeTint="80"/>
            </w:tcBorders>
            <w:shd w:val="clear" w:color="auto" w:fill="auto"/>
            <w:noWrap/>
            <w:vAlign w:val="center"/>
            <w:hideMark/>
          </w:tcPr>
          <w:p w14:paraId="46B238B1" w14:textId="77777777" w:rsidR="00DB257F" w:rsidRPr="007504E6" w:rsidRDefault="00DB257F" w:rsidP="00DB257F">
            <w:pPr>
              <w:spacing w:line="240" w:lineRule="auto"/>
              <w:ind w:firstLine="0"/>
              <w:jc w:val="right"/>
              <w:rPr>
                <w:rFonts w:eastAsia="Times New Roman" w:cstheme="minorHAnsi"/>
                <w:color w:val="000000"/>
                <w:sz w:val="18"/>
                <w:szCs w:val="18"/>
                <w:lang w:val="en-GB" w:eastAsia="lv-LV"/>
              </w:rPr>
            </w:pPr>
            <w:r w:rsidRPr="007504E6">
              <w:rPr>
                <w:rFonts w:eastAsia="Times New Roman" w:cstheme="minorHAnsi"/>
                <w:color w:val="000000"/>
                <w:sz w:val="18"/>
                <w:szCs w:val="18"/>
                <w:lang w:val="en-GB" w:eastAsia="lv-LV"/>
              </w:rPr>
              <w:t>Expert forecast</w:t>
            </w:r>
          </w:p>
        </w:tc>
        <w:tc>
          <w:tcPr>
            <w:tcW w:w="13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3E35C866" w14:textId="77777777" w:rsidR="00DB257F" w:rsidRPr="007504E6" w:rsidRDefault="00DB257F" w:rsidP="00DB257F">
            <w:pPr>
              <w:spacing w:line="240" w:lineRule="auto"/>
              <w:ind w:firstLine="0"/>
              <w:jc w:val="center"/>
              <w:rPr>
                <w:rFonts w:eastAsia="Times New Roman" w:cstheme="minorHAnsi"/>
                <w:color w:val="000000"/>
                <w:sz w:val="18"/>
                <w:szCs w:val="18"/>
                <w:lang w:val="en-GB" w:eastAsia="lv-LV"/>
              </w:rPr>
            </w:pPr>
            <w:r w:rsidRPr="007504E6">
              <w:rPr>
                <w:rFonts w:eastAsia="Times New Roman" w:cstheme="minorHAnsi"/>
                <w:color w:val="000000"/>
                <w:sz w:val="18"/>
                <w:szCs w:val="18"/>
                <w:lang w:val="en-GB" w:eastAsia="lv-LV"/>
              </w:rPr>
              <w:t>7,1</w:t>
            </w:r>
          </w:p>
        </w:tc>
        <w:tc>
          <w:tcPr>
            <w:tcW w:w="13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3055D2B0" w14:textId="77777777" w:rsidR="00DB257F" w:rsidRPr="007504E6" w:rsidRDefault="00DB257F" w:rsidP="00DB257F">
            <w:pPr>
              <w:spacing w:line="240" w:lineRule="auto"/>
              <w:ind w:firstLine="0"/>
              <w:jc w:val="center"/>
              <w:rPr>
                <w:rFonts w:eastAsia="Times New Roman" w:cstheme="minorHAnsi"/>
                <w:color w:val="000000"/>
                <w:sz w:val="18"/>
                <w:szCs w:val="18"/>
                <w:lang w:val="en-GB" w:eastAsia="lv-LV"/>
              </w:rPr>
            </w:pPr>
            <w:r w:rsidRPr="007504E6">
              <w:rPr>
                <w:rFonts w:eastAsia="Times New Roman" w:cstheme="minorHAnsi"/>
                <w:color w:val="000000"/>
                <w:sz w:val="18"/>
                <w:szCs w:val="18"/>
                <w:lang w:val="en-GB" w:eastAsia="lv-LV"/>
              </w:rPr>
              <w:t>7,7</w:t>
            </w:r>
          </w:p>
        </w:tc>
        <w:tc>
          <w:tcPr>
            <w:tcW w:w="13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67807769" w14:textId="77777777" w:rsidR="00DB257F" w:rsidRPr="007504E6" w:rsidRDefault="00DB257F" w:rsidP="00DB257F">
            <w:pPr>
              <w:spacing w:line="240" w:lineRule="auto"/>
              <w:ind w:firstLine="0"/>
              <w:jc w:val="center"/>
              <w:rPr>
                <w:rFonts w:eastAsia="Times New Roman" w:cstheme="minorHAnsi"/>
                <w:color w:val="000000"/>
                <w:sz w:val="18"/>
                <w:szCs w:val="18"/>
                <w:lang w:val="en-GB" w:eastAsia="lv-LV"/>
              </w:rPr>
            </w:pPr>
            <w:r w:rsidRPr="007504E6">
              <w:rPr>
                <w:rFonts w:eastAsia="Times New Roman" w:cstheme="minorHAnsi"/>
                <w:color w:val="000000"/>
                <w:sz w:val="18"/>
                <w:szCs w:val="18"/>
                <w:lang w:val="en-GB" w:eastAsia="lv-LV"/>
              </w:rPr>
              <w:t>6,5</w:t>
            </w:r>
          </w:p>
        </w:tc>
        <w:tc>
          <w:tcPr>
            <w:tcW w:w="13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4671F04E" w14:textId="77777777" w:rsidR="00DB257F" w:rsidRPr="007504E6" w:rsidRDefault="00DB257F" w:rsidP="00DB257F">
            <w:pPr>
              <w:spacing w:line="240" w:lineRule="auto"/>
              <w:ind w:firstLine="0"/>
              <w:jc w:val="center"/>
              <w:rPr>
                <w:rFonts w:eastAsia="Times New Roman" w:cstheme="minorHAnsi"/>
                <w:color w:val="000000"/>
                <w:sz w:val="18"/>
                <w:szCs w:val="18"/>
                <w:lang w:val="en-GB" w:eastAsia="lv-LV"/>
              </w:rPr>
            </w:pPr>
            <w:r w:rsidRPr="007504E6">
              <w:rPr>
                <w:rFonts w:eastAsia="Times New Roman" w:cstheme="minorHAnsi"/>
                <w:color w:val="000000"/>
                <w:sz w:val="18"/>
                <w:szCs w:val="18"/>
                <w:lang w:val="en-GB" w:eastAsia="lv-LV"/>
              </w:rPr>
              <w:t>5,5</w:t>
            </w:r>
          </w:p>
        </w:tc>
        <w:tc>
          <w:tcPr>
            <w:tcW w:w="13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1C1CAF2A" w14:textId="77777777" w:rsidR="00DB257F" w:rsidRPr="007504E6" w:rsidRDefault="00DB257F" w:rsidP="00DB257F">
            <w:pPr>
              <w:spacing w:line="240" w:lineRule="auto"/>
              <w:ind w:firstLine="0"/>
              <w:jc w:val="center"/>
              <w:rPr>
                <w:rFonts w:eastAsia="Times New Roman" w:cstheme="minorHAnsi"/>
                <w:color w:val="000000"/>
                <w:sz w:val="18"/>
                <w:szCs w:val="18"/>
                <w:lang w:val="en-GB" w:eastAsia="lv-LV"/>
              </w:rPr>
            </w:pPr>
            <w:r w:rsidRPr="007504E6">
              <w:rPr>
                <w:rFonts w:eastAsia="Times New Roman" w:cstheme="minorHAnsi"/>
                <w:color w:val="000000"/>
                <w:sz w:val="18"/>
                <w:szCs w:val="18"/>
                <w:lang w:val="en-GB" w:eastAsia="lv-LV"/>
              </w:rPr>
              <w:t>5,1</w:t>
            </w:r>
          </w:p>
        </w:tc>
      </w:tr>
    </w:tbl>
    <w:p w14:paraId="78631ADF" w14:textId="77777777" w:rsidR="00062A8A" w:rsidRPr="007504E6" w:rsidRDefault="00062A8A" w:rsidP="00521077">
      <w:pPr>
        <w:keepNext/>
        <w:spacing w:line="276" w:lineRule="auto"/>
        <w:ind w:firstLine="0"/>
        <w:rPr>
          <w:rFonts w:ascii="Times New Roman" w:hAnsi="Times New Roman" w:cs="Times New Roman"/>
          <w:lang w:val="en-GB"/>
        </w:rPr>
      </w:pPr>
    </w:p>
    <w:p w14:paraId="0AB0E5D0" w14:textId="3581DED0" w:rsidR="001C7E64" w:rsidRPr="007504E6" w:rsidRDefault="00972F8B" w:rsidP="001B0C98">
      <w:pPr>
        <w:pStyle w:val="Parakstszemobjekta"/>
        <w:jc w:val="center"/>
        <w:rPr>
          <w:rFonts w:ascii="Times New Roman" w:hAnsi="Times New Roman" w:cs="Times New Roman"/>
          <w:lang w:val="en-GB"/>
        </w:rPr>
      </w:pPr>
      <w:r w:rsidRPr="007504E6">
        <w:rPr>
          <w:lang w:val="en-GB"/>
        </w:rPr>
        <w:t>Fig</w:t>
      </w:r>
      <w:r w:rsidR="001B0C98" w:rsidRPr="007504E6">
        <w:rPr>
          <w:lang w:val="en-GB"/>
        </w:rPr>
        <w:t xml:space="preserve"> </w:t>
      </w:r>
      <w:r w:rsidR="00D64210" w:rsidRPr="007504E6">
        <w:rPr>
          <w:lang w:val="en-GB"/>
        </w:rPr>
        <w:fldChar w:fldCharType="begin"/>
      </w:r>
      <w:r w:rsidR="00D64210" w:rsidRPr="007504E6">
        <w:rPr>
          <w:lang w:val="en-GB"/>
        </w:rPr>
        <w:instrText xml:space="preserve"> SEQ Attēls \* ARABIC </w:instrText>
      </w:r>
      <w:r w:rsidR="00D64210" w:rsidRPr="007504E6">
        <w:rPr>
          <w:lang w:val="en-GB"/>
        </w:rPr>
        <w:fldChar w:fldCharType="separate"/>
      </w:r>
      <w:r w:rsidR="00D500F7">
        <w:rPr>
          <w:noProof/>
          <w:lang w:val="en-GB"/>
        </w:rPr>
        <w:t>11</w:t>
      </w:r>
      <w:r w:rsidR="00D64210" w:rsidRPr="007504E6">
        <w:rPr>
          <w:noProof/>
          <w:lang w:val="en-GB"/>
        </w:rPr>
        <w:fldChar w:fldCharType="end"/>
      </w:r>
      <w:r w:rsidR="001B0C98" w:rsidRPr="007504E6">
        <w:rPr>
          <w:lang w:val="en-GB"/>
        </w:rPr>
        <w:t xml:space="preserve">. </w:t>
      </w:r>
      <w:r w:rsidR="00F22DBC" w:rsidRPr="007504E6">
        <w:rPr>
          <w:rFonts w:ascii="Times New Roman" w:hAnsi="Times New Roman" w:cs="Times New Roman"/>
          <w:lang w:val="en-GB"/>
        </w:rPr>
        <w:t>Percentage change in workers' wage costs over the previous year since 2011 and forecasts for 2021-2025</w:t>
      </w:r>
      <w:r w:rsidR="00D318B2" w:rsidRPr="007504E6">
        <w:rPr>
          <w:rFonts w:ascii="Times New Roman" w:hAnsi="Times New Roman" w:cs="Times New Roman"/>
          <w:lang w:val="en-GB"/>
        </w:rPr>
        <w:t>.</w:t>
      </w:r>
    </w:p>
    <w:p w14:paraId="7B451108" w14:textId="0B6E0550" w:rsidR="00FE2F60" w:rsidRPr="007504E6" w:rsidRDefault="00F22DBC" w:rsidP="00A53D37">
      <w:pPr>
        <w:spacing w:line="276" w:lineRule="auto"/>
        <w:ind w:firstLine="0"/>
        <w:rPr>
          <w:rFonts w:ascii="Times New Roman" w:hAnsi="Times New Roman" w:cs="Times New Roman"/>
          <w:lang w:val="en-GB"/>
        </w:rPr>
      </w:pPr>
      <w:r w:rsidRPr="007504E6">
        <w:rPr>
          <w:rFonts w:ascii="Times New Roman" w:hAnsi="Times New Roman" w:cs="Times New Roman"/>
          <w:lang w:val="en-GB"/>
        </w:rPr>
        <w:t>In terms of the cost of machinery and equipment, very small changes in costs have been observed since 2013. The lowest increase was in 2015, when costs did not increase in principle, and the highest was in 2018, when it increased by 2.8%. The obtained forecasts, both expert and combined, also indicate that such trends will continue. In the coming years - in 2021 and 2022, an increase in costs of 1.3% and 1.1% compared to the previous year is forecasted</w:t>
      </w:r>
      <w:r w:rsidR="00143D4C" w:rsidRPr="007504E6">
        <w:rPr>
          <w:rFonts w:ascii="Times New Roman" w:hAnsi="Times New Roman" w:cs="Times New Roman"/>
          <w:lang w:val="en-GB"/>
        </w:rPr>
        <w:t xml:space="preserve">. </w:t>
      </w:r>
    </w:p>
    <w:p w14:paraId="037EEC9B" w14:textId="33FDDDD3" w:rsidR="00143D4C" w:rsidRPr="007504E6" w:rsidRDefault="00430B2F" w:rsidP="00430B2F">
      <w:pPr>
        <w:spacing w:line="276" w:lineRule="auto"/>
        <w:ind w:left="720" w:firstLine="0"/>
        <w:rPr>
          <w:rFonts w:ascii="Times New Roman" w:hAnsi="Times New Roman" w:cs="Times New Roman"/>
          <w:lang w:val="en-GB"/>
        </w:rPr>
      </w:pPr>
      <w:r w:rsidRPr="007504E6">
        <w:rPr>
          <w:noProof/>
          <w:lang w:val="en-GB"/>
        </w:rPr>
        <w:drawing>
          <wp:inline distT="0" distB="0" distL="0" distR="0" wp14:anchorId="2D33A89E" wp14:editId="5F641B4F">
            <wp:extent cx="5113020" cy="2476500"/>
            <wp:effectExtent l="0" t="0" r="11430" b="0"/>
            <wp:docPr id="226" name="Chart 226">
              <a:extLst xmlns:a="http://schemas.openxmlformats.org/drawingml/2006/main">
                <a:ext uri="{FF2B5EF4-FFF2-40B4-BE49-F238E27FC236}">
                  <a16:creationId xmlns:a16="http://schemas.microsoft.com/office/drawing/2014/main" id="{5DDB43ED-FB30-4382-8301-DD83C2676D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0611C2A" w14:textId="0C752663" w:rsidR="00D318B2" w:rsidRPr="007504E6" w:rsidRDefault="00D318B2" w:rsidP="00B9247E">
      <w:pPr>
        <w:keepNext/>
        <w:spacing w:line="276" w:lineRule="auto"/>
        <w:rPr>
          <w:rFonts w:ascii="Times New Roman" w:hAnsi="Times New Roman" w:cs="Times New Roman"/>
          <w:lang w:val="en-GB"/>
        </w:rPr>
      </w:pPr>
    </w:p>
    <w:tbl>
      <w:tblPr>
        <w:tblW w:w="8363" w:type="dxa"/>
        <w:tblInd w:w="709" w:type="dxa"/>
        <w:tblLayout w:type="fixed"/>
        <w:tblLook w:val="04A0" w:firstRow="1" w:lastRow="0" w:firstColumn="1" w:lastColumn="0" w:noHBand="0" w:noVBand="1"/>
      </w:tblPr>
      <w:tblGrid>
        <w:gridCol w:w="2410"/>
        <w:gridCol w:w="1190"/>
        <w:gridCol w:w="1191"/>
        <w:gridCol w:w="1190"/>
        <w:gridCol w:w="1191"/>
        <w:gridCol w:w="1191"/>
      </w:tblGrid>
      <w:tr w:rsidR="008470E4" w:rsidRPr="007504E6" w14:paraId="2D248606" w14:textId="77777777" w:rsidTr="00632FE7">
        <w:trPr>
          <w:trHeight w:val="288"/>
        </w:trPr>
        <w:tc>
          <w:tcPr>
            <w:tcW w:w="2410" w:type="dxa"/>
            <w:tcBorders>
              <w:top w:val="nil"/>
              <w:left w:val="nil"/>
              <w:bottom w:val="nil"/>
              <w:right w:val="nil"/>
            </w:tcBorders>
            <w:shd w:val="clear" w:color="000000" w:fill="FFFFFF"/>
            <w:noWrap/>
            <w:vAlign w:val="bottom"/>
            <w:hideMark/>
          </w:tcPr>
          <w:p w14:paraId="18CB997C" w14:textId="77777777" w:rsidR="008470E4" w:rsidRPr="007504E6" w:rsidRDefault="008470E4" w:rsidP="00632FE7">
            <w:pPr>
              <w:spacing w:line="240" w:lineRule="auto"/>
              <w:ind w:firstLine="0"/>
              <w:jc w:val="left"/>
              <w:rPr>
                <w:rFonts w:ascii="Times New Roman" w:eastAsia="Times New Roman" w:hAnsi="Times New Roman" w:cs="Times New Roman"/>
                <w:color w:val="000000"/>
                <w:sz w:val="20"/>
                <w:szCs w:val="20"/>
                <w:lang w:val="en-GB" w:eastAsia="lv-LV"/>
              </w:rPr>
            </w:pPr>
            <w:r w:rsidRPr="007504E6">
              <w:rPr>
                <w:rFonts w:ascii="Times New Roman" w:eastAsia="Times New Roman" w:hAnsi="Times New Roman" w:cs="Times New Roman"/>
                <w:color w:val="000000"/>
                <w:sz w:val="20"/>
                <w:szCs w:val="20"/>
                <w:lang w:val="en-GB" w:eastAsia="lv-LV"/>
              </w:rPr>
              <w:t> </w:t>
            </w:r>
          </w:p>
        </w:tc>
        <w:tc>
          <w:tcPr>
            <w:tcW w:w="1190" w:type="dxa"/>
            <w:tcBorders>
              <w:top w:val="nil"/>
              <w:left w:val="nil"/>
              <w:bottom w:val="single" w:sz="4" w:space="0" w:color="BFBFBF" w:themeColor="background1" w:themeShade="BF"/>
              <w:right w:val="nil"/>
            </w:tcBorders>
            <w:shd w:val="clear" w:color="000000" w:fill="FFFFFF"/>
            <w:noWrap/>
            <w:vAlign w:val="center"/>
            <w:hideMark/>
          </w:tcPr>
          <w:p w14:paraId="55CBDDBF" w14:textId="51041F01" w:rsidR="008470E4" w:rsidRPr="007504E6" w:rsidRDefault="008470E4" w:rsidP="00632FE7">
            <w:pPr>
              <w:spacing w:line="240" w:lineRule="auto"/>
              <w:ind w:firstLine="0"/>
              <w:jc w:val="center"/>
              <w:rPr>
                <w:rFonts w:ascii="Times New Roman" w:eastAsia="Times New Roman" w:hAnsi="Times New Roman" w:cs="Times New Roman"/>
                <w:color w:val="000000"/>
                <w:sz w:val="20"/>
                <w:szCs w:val="20"/>
                <w:lang w:val="en-GB" w:eastAsia="lv-LV"/>
              </w:rPr>
            </w:pPr>
            <w:r w:rsidRPr="007504E6">
              <w:rPr>
                <w:rFonts w:ascii="Times New Roman" w:eastAsia="Times New Roman" w:hAnsi="Times New Roman" w:cs="Times New Roman"/>
                <w:color w:val="000000"/>
                <w:sz w:val="20"/>
                <w:szCs w:val="20"/>
                <w:lang w:val="en-GB" w:eastAsia="lv-LV"/>
              </w:rPr>
              <w:t>2021</w:t>
            </w:r>
          </w:p>
        </w:tc>
        <w:tc>
          <w:tcPr>
            <w:tcW w:w="1191" w:type="dxa"/>
            <w:tcBorders>
              <w:top w:val="nil"/>
              <w:left w:val="nil"/>
              <w:bottom w:val="single" w:sz="4" w:space="0" w:color="BFBFBF" w:themeColor="background1" w:themeShade="BF"/>
              <w:right w:val="nil"/>
            </w:tcBorders>
            <w:shd w:val="clear" w:color="000000" w:fill="FFFFFF"/>
            <w:noWrap/>
            <w:vAlign w:val="center"/>
            <w:hideMark/>
          </w:tcPr>
          <w:p w14:paraId="0906DA78" w14:textId="26264C6C" w:rsidR="008470E4" w:rsidRPr="007504E6" w:rsidRDefault="008470E4" w:rsidP="00632FE7">
            <w:pPr>
              <w:spacing w:line="240" w:lineRule="auto"/>
              <w:ind w:firstLine="0"/>
              <w:jc w:val="center"/>
              <w:rPr>
                <w:rFonts w:ascii="Times New Roman" w:eastAsia="Times New Roman" w:hAnsi="Times New Roman" w:cs="Times New Roman"/>
                <w:color w:val="000000"/>
                <w:sz w:val="20"/>
                <w:szCs w:val="20"/>
                <w:lang w:val="en-GB" w:eastAsia="lv-LV"/>
              </w:rPr>
            </w:pPr>
            <w:r w:rsidRPr="007504E6">
              <w:rPr>
                <w:rFonts w:ascii="Times New Roman" w:eastAsia="Times New Roman" w:hAnsi="Times New Roman" w:cs="Times New Roman"/>
                <w:color w:val="000000"/>
                <w:sz w:val="20"/>
                <w:szCs w:val="20"/>
                <w:lang w:val="en-GB" w:eastAsia="lv-LV"/>
              </w:rPr>
              <w:t>2022</w:t>
            </w:r>
          </w:p>
        </w:tc>
        <w:tc>
          <w:tcPr>
            <w:tcW w:w="1190" w:type="dxa"/>
            <w:tcBorders>
              <w:top w:val="nil"/>
              <w:left w:val="nil"/>
              <w:bottom w:val="single" w:sz="4" w:space="0" w:color="BFBFBF" w:themeColor="background1" w:themeShade="BF"/>
              <w:right w:val="nil"/>
            </w:tcBorders>
            <w:shd w:val="clear" w:color="000000" w:fill="FFFFFF"/>
            <w:noWrap/>
            <w:vAlign w:val="center"/>
            <w:hideMark/>
          </w:tcPr>
          <w:p w14:paraId="66F7E2F1" w14:textId="264E83A8" w:rsidR="008470E4" w:rsidRPr="007504E6" w:rsidRDefault="008470E4" w:rsidP="00632FE7">
            <w:pPr>
              <w:spacing w:line="240" w:lineRule="auto"/>
              <w:ind w:firstLine="0"/>
              <w:jc w:val="center"/>
              <w:rPr>
                <w:rFonts w:ascii="Times New Roman" w:eastAsia="Times New Roman" w:hAnsi="Times New Roman" w:cs="Times New Roman"/>
                <w:color w:val="000000"/>
                <w:sz w:val="20"/>
                <w:szCs w:val="20"/>
                <w:lang w:val="en-GB" w:eastAsia="lv-LV"/>
              </w:rPr>
            </w:pPr>
            <w:r w:rsidRPr="007504E6">
              <w:rPr>
                <w:rFonts w:ascii="Times New Roman" w:eastAsia="Times New Roman" w:hAnsi="Times New Roman" w:cs="Times New Roman"/>
                <w:color w:val="000000"/>
                <w:sz w:val="20"/>
                <w:szCs w:val="20"/>
                <w:lang w:val="en-GB" w:eastAsia="lv-LV"/>
              </w:rPr>
              <w:t>2023</w:t>
            </w:r>
          </w:p>
        </w:tc>
        <w:tc>
          <w:tcPr>
            <w:tcW w:w="1191" w:type="dxa"/>
            <w:tcBorders>
              <w:top w:val="nil"/>
              <w:left w:val="nil"/>
              <w:bottom w:val="single" w:sz="4" w:space="0" w:color="BFBFBF" w:themeColor="background1" w:themeShade="BF"/>
              <w:right w:val="nil"/>
            </w:tcBorders>
            <w:shd w:val="clear" w:color="000000" w:fill="FFFFFF"/>
            <w:noWrap/>
            <w:vAlign w:val="center"/>
            <w:hideMark/>
          </w:tcPr>
          <w:p w14:paraId="4ECA1DFA" w14:textId="2D1D9541" w:rsidR="008470E4" w:rsidRPr="007504E6" w:rsidRDefault="008470E4" w:rsidP="00632FE7">
            <w:pPr>
              <w:spacing w:line="240" w:lineRule="auto"/>
              <w:ind w:firstLine="0"/>
              <w:jc w:val="center"/>
              <w:rPr>
                <w:rFonts w:ascii="Times New Roman" w:eastAsia="Times New Roman" w:hAnsi="Times New Roman" w:cs="Times New Roman"/>
                <w:color w:val="000000"/>
                <w:sz w:val="20"/>
                <w:szCs w:val="20"/>
                <w:lang w:val="en-GB" w:eastAsia="lv-LV"/>
              </w:rPr>
            </w:pPr>
            <w:r w:rsidRPr="007504E6">
              <w:rPr>
                <w:rFonts w:ascii="Times New Roman" w:eastAsia="Times New Roman" w:hAnsi="Times New Roman" w:cs="Times New Roman"/>
                <w:color w:val="000000"/>
                <w:sz w:val="20"/>
                <w:szCs w:val="20"/>
                <w:lang w:val="en-GB" w:eastAsia="lv-LV"/>
              </w:rPr>
              <w:t>2024</w:t>
            </w:r>
          </w:p>
        </w:tc>
        <w:tc>
          <w:tcPr>
            <w:tcW w:w="1191" w:type="dxa"/>
            <w:tcBorders>
              <w:top w:val="nil"/>
              <w:left w:val="nil"/>
              <w:bottom w:val="single" w:sz="4" w:space="0" w:color="BFBFBF" w:themeColor="background1" w:themeShade="BF"/>
              <w:right w:val="nil"/>
            </w:tcBorders>
            <w:shd w:val="clear" w:color="000000" w:fill="FFFFFF"/>
            <w:noWrap/>
            <w:vAlign w:val="center"/>
            <w:hideMark/>
          </w:tcPr>
          <w:p w14:paraId="3AECE546" w14:textId="62F3B48E" w:rsidR="008470E4" w:rsidRPr="007504E6" w:rsidRDefault="008470E4" w:rsidP="00632FE7">
            <w:pPr>
              <w:spacing w:line="240" w:lineRule="auto"/>
              <w:ind w:firstLine="0"/>
              <w:jc w:val="center"/>
              <w:rPr>
                <w:rFonts w:ascii="Times New Roman" w:eastAsia="Times New Roman" w:hAnsi="Times New Roman" w:cs="Times New Roman"/>
                <w:color w:val="000000"/>
                <w:sz w:val="20"/>
                <w:szCs w:val="20"/>
                <w:lang w:val="en-GB" w:eastAsia="lv-LV"/>
              </w:rPr>
            </w:pPr>
            <w:r w:rsidRPr="007504E6">
              <w:rPr>
                <w:rFonts w:ascii="Times New Roman" w:eastAsia="Times New Roman" w:hAnsi="Times New Roman" w:cs="Times New Roman"/>
                <w:color w:val="000000"/>
                <w:sz w:val="20"/>
                <w:szCs w:val="20"/>
                <w:lang w:val="en-GB" w:eastAsia="lv-LV"/>
              </w:rPr>
              <w:t>2025</w:t>
            </w:r>
          </w:p>
        </w:tc>
      </w:tr>
      <w:tr w:rsidR="00F22DBC" w:rsidRPr="007504E6" w14:paraId="1AD40D87" w14:textId="77777777" w:rsidTr="000D2794">
        <w:trPr>
          <w:trHeight w:val="288"/>
        </w:trPr>
        <w:tc>
          <w:tcPr>
            <w:tcW w:w="2410" w:type="dxa"/>
            <w:tcBorders>
              <w:top w:val="nil"/>
              <w:left w:val="nil"/>
              <w:bottom w:val="nil"/>
              <w:right w:val="single" w:sz="4" w:space="0" w:color="BFBFBF" w:themeColor="background1" w:themeShade="BF"/>
            </w:tcBorders>
            <w:shd w:val="clear" w:color="000000" w:fill="FFFFFF"/>
            <w:noWrap/>
            <w:vAlign w:val="center"/>
            <w:hideMark/>
          </w:tcPr>
          <w:p w14:paraId="6D36549E" w14:textId="4A500C7D" w:rsidR="00F22DBC" w:rsidRPr="007504E6" w:rsidRDefault="00F22DBC" w:rsidP="00F22DBC">
            <w:pPr>
              <w:spacing w:line="240" w:lineRule="auto"/>
              <w:ind w:firstLine="0"/>
              <w:jc w:val="left"/>
              <w:rPr>
                <w:rFonts w:ascii="Times New Roman" w:eastAsia="Times New Roman" w:hAnsi="Times New Roman" w:cs="Times New Roman"/>
                <w:color w:val="000000"/>
                <w:sz w:val="18"/>
                <w:szCs w:val="18"/>
                <w:lang w:val="en-GB" w:eastAsia="lv-LV"/>
              </w:rPr>
            </w:pPr>
            <w:r w:rsidRPr="007504E6">
              <w:rPr>
                <w:sz w:val="18"/>
                <w:szCs w:val="18"/>
                <w:lang w:val="en-GB"/>
              </w:rPr>
              <w:t>Statistical forecast</w:t>
            </w:r>
          </w:p>
        </w:tc>
        <w:tc>
          <w:tcPr>
            <w:tcW w:w="11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58591354" w14:textId="09240FCA" w:rsidR="00F22DBC" w:rsidRPr="007504E6" w:rsidRDefault="00F22DBC" w:rsidP="00F22DBC">
            <w:pPr>
              <w:spacing w:line="240" w:lineRule="auto"/>
              <w:ind w:firstLine="0"/>
              <w:jc w:val="center"/>
              <w:rPr>
                <w:rFonts w:ascii="Times New Roman" w:eastAsia="Times New Roman" w:hAnsi="Times New Roman" w:cs="Times New Roman"/>
                <w:color w:val="000000"/>
                <w:sz w:val="18"/>
                <w:szCs w:val="18"/>
                <w:lang w:val="en-GB" w:eastAsia="lv-LV"/>
              </w:rPr>
            </w:pPr>
            <w:r w:rsidRPr="007504E6">
              <w:rPr>
                <w:sz w:val="18"/>
                <w:szCs w:val="18"/>
                <w:lang w:val="en-GB"/>
              </w:rPr>
              <w:t>-0.9</w:t>
            </w:r>
          </w:p>
        </w:tc>
        <w:tc>
          <w:tcPr>
            <w:tcW w:w="1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6C4766F0" w14:textId="5ABA0909" w:rsidR="00F22DBC" w:rsidRPr="007504E6" w:rsidRDefault="00F22DBC" w:rsidP="00F22DBC">
            <w:pPr>
              <w:spacing w:line="240" w:lineRule="auto"/>
              <w:ind w:firstLine="0"/>
              <w:jc w:val="center"/>
              <w:rPr>
                <w:rFonts w:ascii="Times New Roman" w:eastAsia="Times New Roman" w:hAnsi="Times New Roman" w:cs="Times New Roman"/>
                <w:color w:val="000000"/>
                <w:sz w:val="18"/>
                <w:szCs w:val="18"/>
                <w:lang w:val="en-GB" w:eastAsia="lv-LV"/>
              </w:rPr>
            </w:pPr>
            <w:r w:rsidRPr="007504E6">
              <w:rPr>
                <w:sz w:val="18"/>
                <w:szCs w:val="18"/>
                <w:lang w:val="en-GB"/>
              </w:rPr>
              <w:t>-1.4</w:t>
            </w:r>
          </w:p>
        </w:tc>
        <w:tc>
          <w:tcPr>
            <w:tcW w:w="11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0A44F4D6" w14:textId="5AF9A85F" w:rsidR="00F22DBC" w:rsidRPr="007504E6" w:rsidRDefault="00F22DBC" w:rsidP="00F22DBC">
            <w:pPr>
              <w:spacing w:line="240" w:lineRule="auto"/>
              <w:ind w:firstLine="0"/>
              <w:jc w:val="center"/>
              <w:rPr>
                <w:rFonts w:ascii="Times New Roman" w:eastAsia="Times New Roman" w:hAnsi="Times New Roman" w:cs="Times New Roman"/>
                <w:color w:val="000000"/>
                <w:sz w:val="18"/>
                <w:szCs w:val="18"/>
                <w:lang w:val="en-GB" w:eastAsia="lv-LV"/>
              </w:rPr>
            </w:pPr>
            <w:r w:rsidRPr="007504E6">
              <w:rPr>
                <w:sz w:val="18"/>
                <w:szCs w:val="18"/>
                <w:lang w:val="en-GB"/>
              </w:rPr>
              <w:t>-1.9</w:t>
            </w:r>
          </w:p>
        </w:tc>
        <w:tc>
          <w:tcPr>
            <w:tcW w:w="1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12715BBC" w14:textId="119B24DA" w:rsidR="00F22DBC" w:rsidRPr="007504E6" w:rsidRDefault="00F22DBC" w:rsidP="00F22DBC">
            <w:pPr>
              <w:spacing w:line="240" w:lineRule="auto"/>
              <w:ind w:firstLine="0"/>
              <w:jc w:val="center"/>
              <w:rPr>
                <w:rFonts w:ascii="Times New Roman" w:eastAsia="Times New Roman" w:hAnsi="Times New Roman" w:cs="Times New Roman"/>
                <w:color w:val="000000"/>
                <w:sz w:val="18"/>
                <w:szCs w:val="18"/>
                <w:lang w:val="en-GB" w:eastAsia="lv-LV"/>
              </w:rPr>
            </w:pPr>
            <w:r w:rsidRPr="007504E6">
              <w:rPr>
                <w:sz w:val="18"/>
                <w:szCs w:val="18"/>
                <w:lang w:val="en-GB"/>
              </w:rPr>
              <w:t>-2.3</w:t>
            </w:r>
          </w:p>
        </w:tc>
        <w:tc>
          <w:tcPr>
            <w:tcW w:w="1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21D8F24C" w14:textId="6F88BBB0" w:rsidR="00F22DBC" w:rsidRPr="007504E6" w:rsidRDefault="00F22DBC" w:rsidP="00F22DBC">
            <w:pPr>
              <w:spacing w:line="240" w:lineRule="auto"/>
              <w:ind w:firstLine="0"/>
              <w:jc w:val="center"/>
              <w:rPr>
                <w:rFonts w:ascii="Times New Roman" w:eastAsia="Times New Roman" w:hAnsi="Times New Roman" w:cs="Times New Roman"/>
                <w:color w:val="000000"/>
                <w:sz w:val="18"/>
                <w:szCs w:val="18"/>
                <w:lang w:val="en-GB" w:eastAsia="lv-LV"/>
              </w:rPr>
            </w:pPr>
            <w:r w:rsidRPr="007504E6">
              <w:rPr>
                <w:sz w:val="18"/>
                <w:szCs w:val="18"/>
                <w:lang w:val="en-GB"/>
              </w:rPr>
              <w:t>-2.6</w:t>
            </w:r>
          </w:p>
        </w:tc>
      </w:tr>
      <w:tr w:rsidR="00F22DBC" w:rsidRPr="007504E6" w14:paraId="36D42F72" w14:textId="77777777" w:rsidTr="000D2794">
        <w:trPr>
          <w:trHeight w:val="288"/>
        </w:trPr>
        <w:tc>
          <w:tcPr>
            <w:tcW w:w="2410" w:type="dxa"/>
            <w:tcBorders>
              <w:top w:val="nil"/>
              <w:left w:val="nil"/>
              <w:bottom w:val="nil"/>
              <w:right w:val="single" w:sz="4" w:space="0" w:color="BFBFBF" w:themeColor="background1" w:themeShade="BF"/>
            </w:tcBorders>
            <w:shd w:val="clear" w:color="000000" w:fill="FFFFFF"/>
            <w:noWrap/>
            <w:vAlign w:val="center"/>
            <w:hideMark/>
          </w:tcPr>
          <w:p w14:paraId="5417A532" w14:textId="57D6832C" w:rsidR="00F22DBC" w:rsidRPr="007504E6" w:rsidRDefault="00F22DBC" w:rsidP="00F22DBC">
            <w:pPr>
              <w:spacing w:line="240" w:lineRule="auto"/>
              <w:ind w:firstLine="0"/>
              <w:jc w:val="left"/>
              <w:rPr>
                <w:rFonts w:ascii="Times New Roman" w:eastAsia="Times New Roman" w:hAnsi="Times New Roman" w:cs="Times New Roman"/>
                <w:b/>
                <w:bCs/>
                <w:color w:val="000000"/>
                <w:sz w:val="20"/>
                <w:szCs w:val="20"/>
                <w:lang w:val="en-GB" w:eastAsia="lv-LV"/>
              </w:rPr>
            </w:pPr>
            <w:r w:rsidRPr="007504E6">
              <w:rPr>
                <w:b/>
                <w:bCs/>
                <w:sz w:val="20"/>
                <w:szCs w:val="20"/>
                <w:lang w:val="en-GB"/>
              </w:rPr>
              <w:t>Combined forecast</w:t>
            </w:r>
          </w:p>
        </w:tc>
        <w:tc>
          <w:tcPr>
            <w:tcW w:w="11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2A294F00" w14:textId="6873C952" w:rsidR="00F22DBC" w:rsidRPr="007504E6" w:rsidRDefault="00F22DBC" w:rsidP="00F22DBC">
            <w:pPr>
              <w:spacing w:line="240" w:lineRule="auto"/>
              <w:ind w:firstLine="0"/>
              <w:jc w:val="center"/>
              <w:rPr>
                <w:rFonts w:ascii="Times New Roman" w:eastAsia="Times New Roman" w:hAnsi="Times New Roman" w:cs="Times New Roman"/>
                <w:b/>
                <w:bCs/>
                <w:color w:val="000000"/>
                <w:sz w:val="20"/>
                <w:szCs w:val="20"/>
                <w:lang w:val="en-GB" w:eastAsia="lv-LV"/>
              </w:rPr>
            </w:pPr>
            <w:r w:rsidRPr="007504E6">
              <w:rPr>
                <w:b/>
                <w:bCs/>
                <w:sz w:val="20"/>
                <w:szCs w:val="20"/>
                <w:lang w:val="en-GB"/>
              </w:rPr>
              <w:t>1.3</w:t>
            </w:r>
          </w:p>
        </w:tc>
        <w:tc>
          <w:tcPr>
            <w:tcW w:w="1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0DC872B1" w14:textId="26CE973E" w:rsidR="00F22DBC" w:rsidRPr="007504E6" w:rsidRDefault="00F22DBC" w:rsidP="00F22DBC">
            <w:pPr>
              <w:spacing w:line="240" w:lineRule="auto"/>
              <w:ind w:firstLine="0"/>
              <w:jc w:val="center"/>
              <w:rPr>
                <w:rFonts w:ascii="Times New Roman" w:eastAsia="Times New Roman" w:hAnsi="Times New Roman" w:cs="Times New Roman"/>
                <w:b/>
                <w:bCs/>
                <w:color w:val="000000"/>
                <w:sz w:val="20"/>
                <w:szCs w:val="20"/>
                <w:lang w:val="en-GB" w:eastAsia="lv-LV"/>
              </w:rPr>
            </w:pPr>
            <w:r w:rsidRPr="007504E6">
              <w:rPr>
                <w:b/>
                <w:bCs/>
                <w:sz w:val="20"/>
                <w:szCs w:val="20"/>
                <w:lang w:val="en-GB"/>
              </w:rPr>
              <w:t>1.1</w:t>
            </w:r>
          </w:p>
        </w:tc>
        <w:tc>
          <w:tcPr>
            <w:tcW w:w="11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5DE4B2E9" w14:textId="6216657D" w:rsidR="00F22DBC" w:rsidRPr="007504E6" w:rsidRDefault="00F22DBC" w:rsidP="00F22DBC">
            <w:pPr>
              <w:spacing w:line="240" w:lineRule="auto"/>
              <w:ind w:firstLine="0"/>
              <w:jc w:val="center"/>
              <w:rPr>
                <w:rFonts w:ascii="Times New Roman" w:eastAsia="Times New Roman" w:hAnsi="Times New Roman" w:cs="Times New Roman"/>
                <w:b/>
                <w:bCs/>
                <w:color w:val="000000"/>
                <w:sz w:val="20"/>
                <w:szCs w:val="20"/>
                <w:lang w:val="en-GB" w:eastAsia="lv-LV"/>
              </w:rPr>
            </w:pPr>
            <w:r w:rsidRPr="007504E6">
              <w:rPr>
                <w:b/>
                <w:bCs/>
                <w:sz w:val="20"/>
                <w:szCs w:val="20"/>
                <w:lang w:val="en-GB"/>
              </w:rPr>
              <w:t>0.6</w:t>
            </w:r>
          </w:p>
        </w:tc>
        <w:tc>
          <w:tcPr>
            <w:tcW w:w="1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29B080D8" w14:textId="11B35ECC" w:rsidR="00F22DBC" w:rsidRPr="007504E6" w:rsidRDefault="00F22DBC" w:rsidP="00F22DBC">
            <w:pPr>
              <w:spacing w:line="240" w:lineRule="auto"/>
              <w:ind w:firstLine="0"/>
              <w:jc w:val="center"/>
              <w:rPr>
                <w:rFonts w:ascii="Times New Roman" w:eastAsia="Times New Roman" w:hAnsi="Times New Roman" w:cs="Times New Roman"/>
                <w:b/>
                <w:bCs/>
                <w:color w:val="000000"/>
                <w:sz w:val="20"/>
                <w:szCs w:val="20"/>
                <w:lang w:val="en-GB" w:eastAsia="lv-LV"/>
              </w:rPr>
            </w:pPr>
            <w:r w:rsidRPr="007504E6">
              <w:rPr>
                <w:b/>
                <w:bCs/>
                <w:sz w:val="20"/>
                <w:szCs w:val="20"/>
                <w:lang w:val="en-GB"/>
              </w:rPr>
              <w:t>0.7</w:t>
            </w:r>
          </w:p>
        </w:tc>
        <w:tc>
          <w:tcPr>
            <w:tcW w:w="1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734B9D08" w14:textId="5C7092D9" w:rsidR="00F22DBC" w:rsidRPr="007504E6" w:rsidRDefault="00F22DBC" w:rsidP="00F22DBC">
            <w:pPr>
              <w:spacing w:line="240" w:lineRule="auto"/>
              <w:ind w:firstLine="0"/>
              <w:jc w:val="center"/>
              <w:rPr>
                <w:rFonts w:ascii="Times New Roman" w:eastAsia="Times New Roman" w:hAnsi="Times New Roman" w:cs="Times New Roman"/>
                <w:b/>
                <w:bCs/>
                <w:color w:val="000000"/>
                <w:sz w:val="20"/>
                <w:szCs w:val="20"/>
                <w:lang w:val="en-GB" w:eastAsia="lv-LV"/>
              </w:rPr>
            </w:pPr>
            <w:r w:rsidRPr="007504E6">
              <w:rPr>
                <w:b/>
                <w:bCs/>
                <w:sz w:val="20"/>
                <w:szCs w:val="20"/>
                <w:lang w:val="en-GB"/>
              </w:rPr>
              <w:t>0.2</w:t>
            </w:r>
          </w:p>
        </w:tc>
      </w:tr>
      <w:tr w:rsidR="00F22DBC" w:rsidRPr="007504E6" w14:paraId="4AB61802" w14:textId="77777777" w:rsidTr="000D2794">
        <w:trPr>
          <w:trHeight w:val="288"/>
        </w:trPr>
        <w:tc>
          <w:tcPr>
            <w:tcW w:w="2410" w:type="dxa"/>
            <w:tcBorders>
              <w:top w:val="nil"/>
              <w:left w:val="nil"/>
              <w:bottom w:val="nil"/>
              <w:right w:val="single" w:sz="4" w:space="0" w:color="BFBFBF" w:themeColor="background1" w:themeShade="BF"/>
            </w:tcBorders>
            <w:shd w:val="clear" w:color="000000" w:fill="FFFFFF"/>
            <w:noWrap/>
            <w:vAlign w:val="center"/>
            <w:hideMark/>
          </w:tcPr>
          <w:p w14:paraId="052D05DB" w14:textId="59516BA6" w:rsidR="00F22DBC" w:rsidRPr="007504E6" w:rsidRDefault="00F22DBC" w:rsidP="00F22DBC">
            <w:pPr>
              <w:spacing w:line="240" w:lineRule="auto"/>
              <w:ind w:firstLine="0"/>
              <w:jc w:val="left"/>
              <w:rPr>
                <w:rFonts w:ascii="Times New Roman" w:eastAsia="Times New Roman" w:hAnsi="Times New Roman" w:cs="Times New Roman"/>
                <w:color w:val="000000"/>
                <w:sz w:val="18"/>
                <w:szCs w:val="18"/>
                <w:lang w:val="en-GB" w:eastAsia="lv-LV"/>
              </w:rPr>
            </w:pPr>
            <w:r w:rsidRPr="007504E6">
              <w:rPr>
                <w:sz w:val="18"/>
                <w:szCs w:val="18"/>
                <w:lang w:val="en-GB"/>
              </w:rPr>
              <w:t>Expert forecast</w:t>
            </w:r>
          </w:p>
        </w:tc>
        <w:tc>
          <w:tcPr>
            <w:tcW w:w="11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2B464314" w14:textId="2576D949" w:rsidR="00F22DBC" w:rsidRPr="007504E6" w:rsidRDefault="00F22DBC" w:rsidP="00F22DBC">
            <w:pPr>
              <w:spacing w:line="240" w:lineRule="auto"/>
              <w:ind w:firstLine="0"/>
              <w:jc w:val="center"/>
              <w:rPr>
                <w:rFonts w:ascii="Times New Roman" w:eastAsia="Times New Roman" w:hAnsi="Times New Roman" w:cs="Times New Roman"/>
                <w:color w:val="000000"/>
                <w:sz w:val="18"/>
                <w:szCs w:val="18"/>
                <w:lang w:val="en-GB" w:eastAsia="lv-LV"/>
              </w:rPr>
            </w:pPr>
            <w:r w:rsidRPr="007504E6">
              <w:rPr>
                <w:sz w:val="18"/>
                <w:szCs w:val="18"/>
                <w:lang w:val="en-GB"/>
              </w:rPr>
              <w:t>3.6</w:t>
            </w:r>
          </w:p>
        </w:tc>
        <w:tc>
          <w:tcPr>
            <w:tcW w:w="1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418829A9" w14:textId="06974842" w:rsidR="00F22DBC" w:rsidRPr="007504E6" w:rsidRDefault="00F22DBC" w:rsidP="00F22DBC">
            <w:pPr>
              <w:spacing w:line="240" w:lineRule="auto"/>
              <w:ind w:firstLine="0"/>
              <w:jc w:val="center"/>
              <w:rPr>
                <w:rFonts w:ascii="Times New Roman" w:eastAsia="Times New Roman" w:hAnsi="Times New Roman" w:cs="Times New Roman"/>
                <w:color w:val="000000"/>
                <w:sz w:val="18"/>
                <w:szCs w:val="18"/>
                <w:lang w:val="en-GB" w:eastAsia="lv-LV"/>
              </w:rPr>
            </w:pPr>
            <w:r w:rsidRPr="007504E6">
              <w:rPr>
                <w:sz w:val="18"/>
                <w:szCs w:val="18"/>
                <w:lang w:val="en-GB"/>
              </w:rPr>
              <w:t>3.6</w:t>
            </w:r>
          </w:p>
        </w:tc>
        <w:tc>
          <w:tcPr>
            <w:tcW w:w="11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1FB3189B" w14:textId="61B8164B" w:rsidR="00F22DBC" w:rsidRPr="007504E6" w:rsidRDefault="00F22DBC" w:rsidP="00F22DBC">
            <w:pPr>
              <w:spacing w:line="240" w:lineRule="auto"/>
              <w:ind w:firstLine="0"/>
              <w:jc w:val="center"/>
              <w:rPr>
                <w:rFonts w:ascii="Times New Roman" w:eastAsia="Times New Roman" w:hAnsi="Times New Roman" w:cs="Times New Roman"/>
                <w:color w:val="000000"/>
                <w:sz w:val="18"/>
                <w:szCs w:val="18"/>
                <w:lang w:val="en-GB" w:eastAsia="lv-LV"/>
              </w:rPr>
            </w:pPr>
            <w:r w:rsidRPr="007504E6">
              <w:rPr>
                <w:sz w:val="18"/>
                <w:szCs w:val="18"/>
                <w:lang w:val="en-GB"/>
              </w:rPr>
              <w:t>3.1</w:t>
            </w:r>
          </w:p>
        </w:tc>
        <w:tc>
          <w:tcPr>
            <w:tcW w:w="1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34C3AE7A" w14:textId="153D996C" w:rsidR="00F22DBC" w:rsidRPr="007504E6" w:rsidRDefault="00F22DBC" w:rsidP="00F22DBC">
            <w:pPr>
              <w:spacing w:line="240" w:lineRule="auto"/>
              <w:ind w:firstLine="0"/>
              <w:jc w:val="center"/>
              <w:rPr>
                <w:rFonts w:ascii="Times New Roman" w:eastAsia="Times New Roman" w:hAnsi="Times New Roman" w:cs="Times New Roman"/>
                <w:color w:val="000000"/>
                <w:sz w:val="18"/>
                <w:szCs w:val="18"/>
                <w:lang w:val="en-GB" w:eastAsia="lv-LV"/>
              </w:rPr>
            </w:pPr>
            <w:r w:rsidRPr="007504E6">
              <w:rPr>
                <w:sz w:val="18"/>
                <w:szCs w:val="18"/>
                <w:lang w:val="en-GB"/>
              </w:rPr>
              <w:t>3.6</w:t>
            </w:r>
          </w:p>
        </w:tc>
        <w:tc>
          <w:tcPr>
            <w:tcW w:w="1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520952B0" w14:textId="0CD4CF2C" w:rsidR="00F22DBC" w:rsidRPr="007504E6" w:rsidRDefault="00F22DBC" w:rsidP="00F22DBC">
            <w:pPr>
              <w:spacing w:line="240" w:lineRule="auto"/>
              <w:ind w:firstLine="0"/>
              <w:jc w:val="center"/>
              <w:rPr>
                <w:rFonts w:ascii="Times New Roman" w:eastAsia="Times New Roman" w:hAnsi="Times New Roman" w:cs="Times New Roman"/>
                <w:color w:val="000000"/>
                <w:sz w:val="18"/>
                <w:szCs w:val="18"/>
                <w:lang w:val="en-GB" w:eastAsia="lv-LV"/>
              </w:rPr>
            </w:pPr>
            <w:r w:rsidRPr="007504E6">
              <w:rPr>
                <w:sz w:val="18"/>
                <w:szCs w:val="18"/>
                <w:lang w:val="en-GB"/>
              </w:rPr>
              <w:t>3.0</w:t>
            </w:r>
          </w:p>
        </w:tc>
      </w:tr>
    </w:tbl>
    <w:p w14:paraId="783CFBAA" w14:textId="77777777" w:rsidR="008470E4" w:rsidRPr="007504E6" w:rsidRDefault="008470E4" w:rsidP="00B9247E">
      <w:pPr>
        <w:keepNext/>
        <w:spacing w:line="276" w:lineRule="auto"/>
        <w:rPr>
          <w:rFonts w:ascii="Times New Roman" w:hAnsi="Times New Roman" w:cs="Times New Roman"/>
          <w:lang w:val="en-GB"/>
        </w:rPr>
      </w:pPr>
    </w:p>
    <w:p w14:paraId="58719D10" w14:textId="40B7E4ED" w:rsidR="00FE2F60" w:rsidRPr="007504E6" w:rsidRDefault="00F22DBC" w:rsidP="001B0C98">
      <w:pPr>
        <w:pStyle w:val="Parakstszemobjekta"/>
        <w:jc w:val="center"/>
        <w:rPr>
          <w:rFonts w:ascii="Times New Roman" w:hAnsi="Times New Roman" w:cs="Times New Roman"/>
          <w:lang w:val="en-GB"/>
        </w:rPr>
      </w:pPr>
      <w:r w:rsidRPr="007504E6">
        <w:rPr>
          <w:lang w:val="en-GB"/>
        </w:rPr>
        <w:t>Fig</w:t>
      </w:r>
      <w:r w:rsidR="001B0C98" w:rsidRPr="007504E6">
        <w:rPr>
          <w:lang w:val="en-GB"/>
        </w:rPr>
        <w:t xml:space="preserve"> </w:t>
      </w:r>
      <w:r w:rsidR="00D64210" w:rsidRPr="007504E6">
        <w:rPr>
          <w:lang w:val="en-GB"/>
        </w:rPr>
        <w:fldChar w:fldCharType="begin"/>
      </w:r>
      <w:r w:rsidR="00D64210" w:rsidRPr="007504E6">
        <w:rPr>
          <w:lang w:val="en-GB"/>
        </w:rPr>
        <w:instrText xml:space="preserve"> SEQ Attēls \* ARABIC </w:instrText>
      </w:r>
      <w:r w:rsidR="00D64210" w:rsidRPr="007504E6">
        <w:rPr>
          <w:lang w:val="en-GB"/>
        </w:rPr>
        <w:fldChar w:fldCharType="separate"/>
      </w:r>
      <w:r w:rsidR="00D500F7">
        <w:rPr>
          <w:noProof/>
          <w:lang w:val="en-GB"/>
        </w:rPr>
        <w:t>12</w:t>
      </w:r>
      <w:r w:rsidR="00D64210" w:rsidRPr="007504E6">
        <w:rPr>
          <w:noProof/>
          <w:lang w:val="en-GB"/>
        </w:rPr>
        <w:fldChar w:fldCharType="end"/>
      </w:r>
      <w:r w:rsidR="001B0C98" w:rsidRPr="007504E6">
        <w:rPr>
          <w:lang w:val="en-GB"/>
        </w:rPr>
        <w:t>.</w:t>
      </w:r>
      <w:r w:rsidR="00D30132" w:rsidRPr="007504E6">
        <w:rPr>
          <w:lang w:val="en-GB"/>
        </w:rPr>
        <w:t xml:space="preserve"> </w:t>
      </w:r>
      <w:r w:rsidR="00D30132" w:rsidRPr="007504E6">
        <w:rPr>
          <w:rFonts w:ascii="Times New Roman" w:hAnsi="Times New Roman" w:cs="Times New Roman"/>
          <w:lang w:val="en-GB"/>
        </w:rPr>
        <w:t>Percentage change in the cost of machinery and equipment compared to the previous year since 2011 and forecasts for 2021-2025</w:t>
      </w:r>
      <w:r w:rsidR="00D318B2" w:rsidRPr="007504E6">
        <w:rPr>
          <w:rFonts w:ascii="Times New Roman" w:hAnsi="Times New Roman" w:cs="Times New Roman"/>
          <w:lang w:val="en-GB"/>
        </w:rPr>
        <w:t>.</w:t>
      </w:r>
    </w:p>
    <w:p w14:paraId="02DF35E2" w14:textId="21E243E2" w:rsidR="005B748E" w:rsidRPr="007504E6" w:rsidRDefault="00D30132" w:rsidP="002D2E0F">
      <w:pPr>
        <w:spacing w:line="276" w:lineRule="auto"/>
        <w:ind w:firstLine="0"/>
        <w:rPr>
          <w:rFonts w:ascii="Times New Roman" w:hAnsi="Times New Roman" w:cs="Times New Roman"/>
          <w:lang w:val="en-GB"/>
        </w:rPr>
      </w:pPr>
      <w:r w:rsidRPr="007504E6">
        <w:rPr>
          <w:rFonts w:ascii="Times New Roman" w:hAnsi="Times New Roman" w:cs="Times New Roman"/>
          <w:lang w:val="en-GB"/>
        </w:rPr>
        <w:t>Cost forecasts by type of resources were also considered by sub-sectors, with experts of each sub-sector forecasting costs within their competence. As a result, various sections were obtained, which were evaluated in depth</w:t>
      </w:r>
      <w:r w:rsidR="00E746F3" w:rsidRPr="007504E6">
        <w:rPr>
          <w:rFonts w:ascii="Times New Roman" w:hAnsi="Times New Roman" w:cs="Times New Roman"/>
          <w:lang w:val="en-GB"/>
        </w:rPr>
        <w:t>.</w:t>
      </w:r>
      <w:r w:rsidR="00813298" w:rsidRPr="007504E6">
        <w:rPr>
          <w:rFonts w:ascii="Times New Roman" w:hAnsi="Times New Roman" w:cs="Times New Roman"/>
          <w:lang w:val="en-GB"/>
        </w:rPr>
        <w:t xml:space="preserve"> </w:t>
      </w:r>
    </w:p>
    <w:p w14:paraId="0FDB18E4" w14:textId="77777777" w:rsidR="00E746F3" w:rsidRPr="007504E6" w:rsidRDefault="00E746F3" w:rsidP="00E746F3">
      <w:pPr>
        <w:spacing w:line="276" w:lineRule="auto"/>
        <w:ind w:firstLine="0"/>
        <w:rPr>
          <w:rFonts w:ascii="Times New Roman" w:hAnsi="Times New Roman" w:cs="Times New Roman"/>
          <w:lang w:val="en-GB"/>
        </w:rPr>
      </w:pPr>
    </w:p>
    <w:p w14:paraId="4B361A70" w14:textId="60EA77DB" w:rsidR="00616F24" w:rsidRPr="007504E6" w:rsidRDefault="00D30132" w:rsidP="00E746F3">
      <w:pPr>
        <w:spacing w:line="276" w:lineRule="auto"/>
        <w:ind w:firstLine="0"/>
        <w:rPr>
          <w:rFonts w:ascii="Times New Roman" w:hAnsi="Times New Roman" w:cs="Times New Roman"/>
          <w:lang w:val="en-GB"/>
        </w:rPr>
      </w:pPr>
      <w:r w:rsidRPr="007504E6">
        <w:rPr>
          <w:rFonts w:ascii="Times New Roman" w:hAnsi="Times New Roman" w:cs="Times New Roman"/>
          <w:lang w:val="en-GB"/>
        </w:rPr>
        <w:t>In the case of construction of residential buildings, the largest increase in costs in 2021 is forecasted for the cost of construction materials in the amount of 14.71%, which according to forecasts will decrease significantly next year</w:t>
      </w:r>
      <w:r w:rsidR="00F707D9" w:rsidRPr="007504E6">
        <w:rPr>
          <w:rFonts w:ascii="Times New Roman" w:hAnsi="Times New Roman" w:cs="Times New Roman"/>
          <w:lang w:val="en-GB"/>
        </w:rPr>
        <w:t xml:space="preserve">. </w:t>
      </w:r>
    </w:p>
    <w:p w14:paraId="3D642A52" w14:textId="77777777" w:rsidR="00616F24" w:rsidRPr="007504E6" w:rsidRDefault="00616F24" w:rsidP="00E746F3">
      <w:pPr>
        <w:spacing w:line="276" w:lineRule="auto"/>
        <w:ind w:firstLine="0"/>
        <w:rPr>
          <w:rFonts w:ascii="Times New Roman" w:hAnsi="Times New Roman" w:cs="Times New Roman"/>
          <w:lang w:val="en-GB"/>
        </w:rPr>
      </w:pPr>
    </w:p>
    <w:p w14:paraId="7F69E78F" w14:textId="136C3F3C" w:rsidR="00813298" w:rsidRPr="007504E6" w:rsidRDefault="00D30132" w:rsidP="00E746F3">
      <w:pPr>
        <w:spacing w:line="276" w:lineRule="auto"/>
        <w:ind w:firstLine="0"/>
        <w:rPr>
          <w:rFonts w:ascii="Times New Roman" w:hAnsi="Times New Roman" w:cs="Times New Roman"/>
          <w:lang w:val="en-GB"/>
        </w:rPr>
      </w:pPr>
      <w:r w:rsidRPr="007504E6">
        <w:rPr>
          <w:lang w:val="en-GB"/>
        </w:rPr>
        <w:t xml:space="preserve"> </w:t>
      </w:r>
      <w:r w:rsidRPr="007504E6">
        <w:rPr>
          <w:rFonts w:ascii="Times New Roman" w:hAnsi="Times New Roman" w:cs="Times New Roman"/>
          <w:lang w:val="en-GB"/>
        </w:rPr>
        <w:t>Repeated growth of construction materials is forecast in 2024 and 2025. Workers' wages are projected to increase by 3.43% and 7.00%</w:t>
      </w:r>
      <w:r w:rsidR="00BB7F5A" w:rsidRPr="007504E6">
        <w:rPr>
          <w:rFonts w:ascii="Times New Roman" w:hAnsi="Times New Roman" w:cs="Times New Roman"/>
          <w:lang w:val="en-GB"/>
        </w:rPr>
        <w:t>.</w:t>
      </w:r>
    </w:p>
    <w:p w14:paraId="15E98166" w14:textId="55F74F76" w:rsidR="005D1F09" w:rsidRPr="007504E6" w:rsidRDefault="00F122B2" w:rsidP="00B9247E">
      <w:pPr>
        <w:keepNext/>
        <w:spacing w:line="276" w:lineRule="auto"/>
        <w:rPr>
          <w:rFonts w:ascii="Times New Roman" w:hAnsi="Times New Roman" w:cs="Times New Roman"/>
          <w:lang w:val="en-GB"/>
        </w:rPr>
      </w:pPr>
      <w:r w:rsidRPr="007504E6">
        <w:rPr>
          <w:noProof/>
          <w:lang w:val="en-GB"/>
        </w:rPr>
        <w:drawing>
          <wp:inline distT="0" distB="0" distL="0" distR="0" wp14:anchorId="0BB057CF" wp14:editId="14ACAA2A">
            <wp:extent cx="5039995" cy="3451860"/>
            <wp:effectExtent l="0" t="0" r="8255" b="15240"/>
            <wp:docPr id="230" name="Chart 230">
              <a:extLst xmlns:a="http://schemas.openxmlformats.org/drawingml/2006/main">
                <a:ext uri="{FF2B5EF4-FFF2-40B4-BE49-F238E27FC236}">
                  <a16:creationId xmlns:a16="http://schemas.microsoft.com/office/drawing/2014/main" id="{9D9D9707-51AC-4A63-966D-7D49B5594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9AD2B79" w14:textId="4A36B7B4" w:rsidR="00813298" w:rsidRPr="007504E6" w:rsidRDefault="00D30132" w:rsidP="005F622A">
      <w:pPr>
        <w:pStyle w:val="Parakstszemobjekta"/>
        <w:jc w:val="center"/>
        <w:rPr>
          <w:rFonts w:ascii="Times New Roman" w:hAnsi="Times New Roman" w:cs="Times New Roman"/>
          <w:lang w:val="en-GB"/>
        </w:rPr>
      </w:pPr>
      <w:r w:rsidRPr="007504E6">
        <w:rPr>
          <w:lang w:val="en-GB"/>
        </w:rPr>
        <w:t>Fig</w:t>
      </w:r>
      <w:r w:rsidR="001B0C98" w:rsidRPr="007504E6">
        <w:rPr>
          <w:lang w:val="en-GB"/>
        </w:rPr>
        <w:t xml:space="preserve"> </w:t>
      </w:r>
      <w:r w:rsidR="00D64210" w:rsidRPr="007504E6">
        <w:rPr>
          <w:lang w:val="en-GB"/>
        </w:rPr>
        <w:fldChar w:fldCharType="begin"/>
      </w:r>
      <w:r w:rsidR="00D64210" w:rsidRPr="007504E6">
        <w:rPr>
          <w:lang w:val="en-GB"/>
        </w:rPr>
        <w:instrText xml:space="preserve"> SEQ Attēls \* ARABIC </w:instrText>
      </w:r>
      <w:r w:rsidR="00D64210" w:rsidRPr="007504E6">
        <w:rPr>
          <w:lang w:val="en-GB"/>
        </w:rPr>
        <w:fldChar w:fldCharType="separate"/>
      </w:r>
      <w:r w:rsidR="00D500F7">
        <w:rPr>
          <w:noProof/>
          <w:lang w:val="en-GB"/>
        </w:rPr>
        <w:t>13</w:t>
      </w:r>
      <w:r w:rsidR="00D64210" w:rsidRPr="007504E6">
        <w:rPr>
          <w:noProof/>
          <w:lang w:val="en-GB"/>
        </w:rPr>
        <w:fldChar w:fldCharType="end"/>
      </w:r>
      <w:r w:rsidR="001B0C98" w:rsidRPr="007504E6">
        <w:rPr>
          <w:lang w:val="en-GB"/>
        </w:rPr>
        <w:t xml:space="preserve">. </w:t>
      </w:r>
      <w:r w:rsidRPr="007504E6">
        <w:rPr>
          <w:rFonts w:ascii="Times New Roman" w:hAnsi="Times New Roman" w:cs="Times New Roman"/>
          <w:lang w:val="en-GB"/>
        </w:rPr>
        <w:t>Forecasts of changes in the cost of residential buildings by types of resources 2021-2025</w:t>
      </w:r>
      <w:r w:rsidR="00616F24" w:rsidRPr="007504E6">
        <w:rPr>
          <w:rFonts w:ascii="Times New Roman" w:hAnsi="Times New Roman" w:cs="Times New Roman"/>
          <w:lang w:val="en-GB"/>
        </w:rPr>
        <w:t>.</w:t>
      </w:r>
    </w:p>
    <w:p w14:paraId="09E224F5" w14:textId="19BB6913" w:rsidR="00813298" w:rsidRPr="007504E6" w:rsidRDefault="00D30132" w:rsidP="00616F24">
      <w:pPr>
        <w:spacing w:line="276" w:lineRule="auto"/>
        <w:ind w:firstLine="0"/>
        <w:rPr>
          <w:rFonts w:ascii="Times New Roman" w:hAnsi="Times New Roman" w:cs="Times New Roman"/>
          <w:lang w:val="en-GB"/>
        </w:rPr>
      </w:pPr>
      <w:r w:rsidRPr="007504E6">
        <w:rPr>
          <w:rFonts w:ascii="Times New Roman" w:hAnsi="Times New Roman" w:cs="Times New Roman"/>
          <w:lang w:val="en-GB"/>
        </w:rPr>
        <w:t>Changes in the cost of non-residential buildings are generally characterized by the same trends as in the construction of residential buildings. In this case, too, building materials in 2021 will rather be the position with the fastest growth, which is forecasted at 14.86%. Over the longer term, lower cost growth is projected, which could be lowest at 2.4% in 2023, but could rise again to 8.6% per year by 2025</w:t>
      </w:r>
      <w:r w:rsidR="00860E23" w:rsidRPr="007504E6">
        <w:rPr>
          <w:rFonts w:ascii="Times New Roman" w:hAnsi="Times New Roman" w:cs="Times New Roman"/>
          <w:lang w:val="en-GB"/>
        </w:rPr>
        <w:t>.</w:t>
      </w:r>
    </w:p>
    <w:p w14:paraId="57CD6615" w14:textId="77777777" w:rsidR="00EB7283" w:rsidRPr="007504E6" w:rsidRDefault="00EB7283" w:rsidP="00B9247E">
      <w:pPr>
        <w:spacing w:line="276" w:lineRule="auto"/>
        <w:rPr>
          <w:rFonts w:ascii="Times New Roman" w:hAnsi="Times New Roman" w:cs="Times New Roman"/>
          <w:lang w:val="en-GB"/>
        </w:rPr>
      </w:pPr>
    </w:p>
    <w:p w14:paraId="31761FB8" w14:textId="40FABA57" w:rsidR="00EB7283" w:rsidRPr="007504E6" w:rsidRDefault="005D12A4" w:rsidP="00B9247E">
      <w:pPr>
        <w:keepNext/>
        <w:spacing w:line="276" w:lineRule="auto"/>
        <w:rPr>
          <w:rFonts w:ascii="Times New Roman" w:hAnsi="Times New Roman" w:cs="Times New Roman"/>
          <w:lang w:val="en-GB"/>
        </w:rPr>
      </w:pPr>
      <w:r w:rsidRPr="007504E6">
        <w:rPr>
          <w:noProof/>
          <w:lang w:val="en-GB"/>
        </w:rPr>
        <w:drawing>
          <wp:inline distT="0" distB="0" distL="0" distR="0" wp14:anchorId="6DCB6362" wp14:editId="4D7AC21B">
            <wp:extent cx="5039995" cy="3596640"/>
            <wp:effectExtent l="0" t="0" r="8255" b="3810"/>
            <wp:docPr id="231" name="Chart 231">
              <a:extLst xmlns:a="http://schemas.openxmlformats.org/drawingml/2006/main">
                <a:ext uri="{FF2B5EF4-FFF2-40B4-BE49-F238E27FC236}">
                  <a16:creationId xmlns:a16="http://schemas.microsoft.com/office/drawing/2014/main" id="{722CBB2C-60D3-44B5-8FE3-C7433BC7B4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4081949" w14:textId="64D1143E" w:rsidR="00E51B20" w:rsidRPr="007504E6" w:rsidRDefault="00CA0AAC" w:rsidP="001B0C98">
      <w:pPr>
        <w:pStyle w:val="Parakstszemobjekta"/>
        <w:jc w:val="center"/>
        <w:rPr>
          <w:rFonts w:ascii="Times New Roman" w:hAnsi="Times New Roman" w:cs="Times New Roman"/>
          <w:lang w:val="en-GB"/>
        </w:rPr>
      </w:pPr>
      <w:r w:rsidRPr="007504E6">
        <w:rPr>
          <w:lang w:val="en-GB"/>
        </w:rPr>
        <w:t>Fig</w:t>
      </w:r>
      <w:r w:rsidR="001B0C98" w:rsidRPr="007504E6">
        <w:rPr>
          <w:lang w:val="en-GB"/>
        </w:rPr>
        <w:t xml:space="preserve"> </w:t>
      </w:r>
      <w:r w:rsidR="00D64210" w:rsidRPr="007504E6">
        <w:rPr>
          <w:lang w:val="en-GB"/>
        </w:rPr>
        <w:fldChar w:fldCharType="begin"/>
      </w:r>
      <w:r w:rsidR="00D64210" w:rsidRPr="007504E6">
        <w:rPr>
          <w:lang w:val="en-GB"/>
        </w:rPr>
        <w:instrText xml:space="preserve"> SEQ Attēls \* ARABIC </w:instrText>
      </w:r>
      <w:r w:rsidR="00D64210" w:rsidRPr="007504E6">
        <w:rPr>
          <w:lang w:val="en-GB"/>
        </w:rPr>
        <w:fldChar w:fldCharType="separate"/>
      </w:r>
      <w:r w:rsidR="00D500F7">
        <w:rPr>
          <w:noProof/>
          <w:lang w:val="en-GB"/>
        </w:rPr>
        <w:t>14</w:t>
      </w:r>
      <w:r w:rsidR="00D64210" w:rsidRPr="007504E6">
        <w:rPr>
          <w:noProof/>
          <w:lang w:val="en-GB"/>
        </w:rPr>
        <w:fldChar w:fldCharType="end"/>
      </w:r>
      <w:r w:rsidR="001B0C98" w:rsidRPr="007504E6">
        <w:rPr>
          <w:lang w:val="en-GB"/>
        </w:rPr>
        <w:t xml:space="preserve">. </w:t>
      </w:r>
      <w:r w:rsidR="009076D6" w:rsidRPr="007504E6">
        <w:rPr>
          <w:rFonts w:ascii="Times New Roman" w:hAnsi="Times New Roman" w:cs="Times New Roman"/>
          <w:lang w:val="en-GB"/>
        </w:rPr>
        <w:t>Forecasts of changes in the cost of non-residential buildings by types of resources 2021-2025</w:t>
      </w:r>
      <w:r w:rsidR="00616F24" w:rsidRPr="007504E6">
        <w:rPr>
          <w:rFonts w:ascii="Times New Roman" w:hAnsi="Times New Roman" w:cs="Times New Roman"/>
          <w:lang w:val="en-GB"/>
        </w:rPr>
        <w:t>.</w:t>
      </w:r>
    </w:p>
    <w:p w14:paraId="382EEBE6" w14:textId="1C69C6B1" w:rsidR="00813298" w:rsidRPr="007504E6" w:rsidRDefault="009076D6" w:rsidP="00616F24">
      <w:pPr>
        <w:spacing w:line="276" w:lineRule="auto"/>
        <w:ind w:firstLine="0"/>
        <w:rPr>
          <w:rFonts w:ascii="Times New Roman" w:hAnsi="Times New Roman" w:cs="Times New Roman"/>
          <w:lang w:val="en-GB"/>
        </w:rPr>
      </w:pPr>
      <w:r w:rsidRPr="007504E6">
        <w:rPr>
          <w:rFonts w:ascii="Times New Roman" w:hAnsi="Times New Roman" w:cs="Times New Roman"/>
          <w:lang w:val="en-GB"/>
        </w:rPr>
        <w:t xml:space="preserve">The sub-sector of transport construction stands out with relatively pessimistic estimates and high increase of costs forecasted by experts in all positions. Both the cost of construction materials and the cost of machinery and equipment in 2021 are forecast to increase by 10.0%. In later years, however, these forecasts will decrease in these positions, reaching pre-pandemic levels in 2023-2025. annual evaluations. However, a specific situation arises with the expenses of architectural and engineering services, technical testing and analysis, where, conversely, in 2021 and 2022 a more moderate increase in costs is forecast of 7.8% and 7.2% compared to the previous year, but in the period 2023-2025. The average annual growth is estimated at 9.6% per year. Such a situation could be related to a large workload of specialists in this sub-sector in Latvia directly in the construction of transport facilities in the context of the Rail </w:t>
      </w:r>
      <w:proofErr w:type="spellStart"/>
      <w:r w:rsidRPr="007504E6">
        <w:rPr>
          <w:rFonts w:ascii="Times New Roman" w:hAnsi="Times New Roman" w:cs="Times New Roman"/>
          <w:lang w:val="en-GB"/>
        </w:rPr>
        <w:t>Baltica</w:t>
      </w:r>
      <w:proofErr w:type="spellEnd"/>
      <w:r w:rsidRPr="007504E6">
        <w:rPr>
          <w:rFonts w:ascii="Times New Roman" w:hAnsi="Times New Roman" w:cs="Times New Roman"/>
          <w:lang w:val="en-GB"/>
        </w:rPr>
        <w:t xml:space="preserve"> project</w:t>
      </w:r>
      <w:r w:rsidR="000101AA" w:rsidRPr="007504E6">
        <w:rPr>
          <w:rFonts w:ascii="Times New Roman" w:hAnsi="Times New Roman" w:cs="Times New Roman"/>
          <w:lang w:val="en-GB"/>
        </w:rPr>
        <w:t xml:space="preserve">. </w:t>
      </w:r>
    </w:p>
    <w:p w14:paraId="2DC4EB46" w14:textId="77777777" w:rsidR="006962FB" w:rsidRPr="007504E6" w:rsidRDefault="006962FB" w:rsidP="00616F24">
      <w:pPr>
        <w:spacing w:line="276" w:lineRule="auto"/>
        <w:ind w:firstLine="0"/>
        <w:rPr>
          <w:rFonts w:ascii="Times New Roman" w:hAnsi="Times New Roman" w:cs="Times New Roman"/>
          <w:lang w:val="en-GB"/>
        </w:rPr>
      </w:pPr>
    </w:p>
    <w:p w14:paraId="65A010AD" w14:textId="7C90E7C9" w:rsidR="00FD2B8F" w:rsidRPr="007504E6" w:rsidRDefault="00D2070D" w:rsidP="00B9247E">
      <w:pPr>
        <w:keepNext/>
        <w:spacing w:line="276" w:lineRule="auto"/>
        <w:rPr>
          <w:rFonts w:ascii="Times New Roman" w:hAnsi="Times New Roman" w:cs="Times New Roman"/>
          <w:lang w:val="en-GB"/>
        </w:rPr>
      </w:pPr>
      <w:r w:rsidRPr="007504E6">
        <w:rPr>
          <w:noProof/>
          <w:lang w:val="en-GB"/>
        </w:rPr>
        <w:drawing>
          <wp:inline distT="0" distB="0" distL="0" distR="0" wp14:anchorId="5E191529" wp14:editId="2955D8C9">
            <wp:extent cx="5039995" cy="3413760"/>
            <wp:effectExtent l="0" t="0" r="8255" b="15240"/>
            <wp:docPr id="232" name="Chart 232">
              <a:extLst xmlns:a="http://schemas.openxmlformats.org/drawingml/2006/main">
                <a:ext uri="{FF2B5EF4-FFF2-40B4-BE49-F238E27FC236}">
                  <a16:creationId xmlns:a16="http://schemas.microsoft.com/office/drawing/2014/main" id="{1FB8945A-3985-4451-A45F-14AC7BAB5D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EFCF87B" w14:textId="58E8D2C8" w:rsidR="00FD2B8F" w:rsidRPr="007504E6" w:rsidRDefault="009076D6" w:rsidP="00521077">
      <w:pPr>
        <w:pStyle w:val="Parakstszemobjekta"/>
        <w:jc w:val="center"/>
        <w:rPr>
          <w:rFonts w:ascii="Times New Roman" w:hAnsi="Times New Roman" w:cs="Times New Roman"/>
          <w:lang w:val="en-GB"/>
        </w:rPr>
      </w:pPr>
      <w:r w:rsidRPr="007504E6">
        <w:rPr>
          <w:lang w:val="en-GB"/>
        </w:rPr>
        <w:t>Fig</w:t>
      </w:r>
      <w:r w:rsidR="001B0C98" w:rsidRPr="007504E6">
        <w:rPr>
          <w:lang w:val="en-GB"/>
        </w:rPr>
        <w:t xml:space="preserve"> </w:t>
      </w:r>
      <w:r w:rsidR="00D64210" w:rsidRPr="007504E6">
        <w:rPr>
          <w:lang w:val="en-GB"/>
        </w:rPr>
        <w:fldChar w:fldCharType="begin"/>
      </w:r>
      <w:r w:rsidR="00D64210" w:rsidRPr="007504E6">
        <w:rPr>
          <w:lang w:val="en-GB"/>
        </w:rPr>
        <w:instrText xml:space="preserve"> SEQ Attēls \* ARABIC </w:instrText>
      </w:r>
      <w:r w:rsidR="00D64210" w:rsidRPr="007504E6">
        <w:rPr>
          <w:lang w:val="en-GB"/>
        </w:rPr>
        <w:fldChar w:fldCharType="separate"/>
      </w:r>
      <w:r w:rsidR="00D500F7">
        <w:rPr>
          <w:noProof/>
          <w:lang w:val="en-GB"/>
        </w:rPr>
        <w:t>15</w:t>
      </w:r>
      <w:r w:rsidR="00D64210" w:rsidRPr="007504E6">
        <w:rPr>
          <w:noProof/>
          <w:lang w:val="en-GB"/>
        </w:rPr>
        <w:fldChar w:fldCharType="end"/>
      </w:r>
      <w:r w:rsidR="001B0C98" w:rsidRPr="007504E6">
        <w:rPr>
          <w:lang w:val="en-GB"/>
        </w:rPr>
        <w:t xml:space="preserve">. </w:t>
      </w:r>
      <w:r w:rsidRPr="007504E6">
        <w:rPr>
          <w:rFonts w:ascii="Times New Roman" w:hAnsi="Times New Roman" w:cs="Times New Roman"/>
          <w:lang w:val="en-GB"/>
        </w:rPr>
        <w:t>Forecasts of changes in the costs of transport objects by types of resources 2021-2025</w:t>
      </w:r>
      <w:r w:rsidR="00616F24" w:rsidRPr="007504E6">
        <w:rPr>
          <w:rFonts w:ascii="Times New Roman" w:hAnsi="Times New Roman" w:cs="Times New Roman"/>
          <w:lang w:val="en-GB"/>
        </w:rPr>
        <w:t>.</w:t>
      </w:r>
    </w:p>
    <w:p w14:paraId="136C1BB5" w14:textId="33B251B0" w:rsidR="00E51B20" w:rsidRPr="007504E6" w:rsidRDefault="00655B3D" w:rsidP="00616F24">
      <w:pPr>
        <w:spacing w:line="276" w:lineRule="auto"/>
        <w:ind w:firstLine="0"/>
        <w:rPr>
          <w:rFonts w:ascii="Times New Roman" w:hAnsi="Times New Roman" w:cs="Times New Roman"/>
          <w:lang w:val="en-GB"/>
        </w:rPr>
      </w:pPr>
      <w:r w:rsidRPr="007504E6">
        <w:rPr>
          <w:rFonts w:ascii="Times New Roman" w:hAnsi="Times New Roman" w:cs="Times New Roman"/>
          <w:lang w:val="en-GB"/>
        </w:rPr>
        <w:t>Also in the sub-sector of urban infrastructure, a significant increase in costs is forecasted in the context of building materials. In 2021, this increase is forecast at 15.3%, which will not be so large in later years, but also in 2022 will be the most significant cost item. Workers' wage costs could increase by 7.6% in 2021 and by more than 10.0% in 2022, but in later years the increase will not be as large</w:t>
      </w:r>
      <w:r w:rsidR="000101AA" w:rsidRPr="007504E6">
        <w:rPr>
          <w:rFonts w:ascii="Times New Roman" w:hAnsi="Times New Roman" w:cs="Times New Roman"/>
          <w:lang w:val="en-GB"/>
        </w:rPr>
        <w:t xml:space="preserve">. </w:t>
      </w:r>
    </w:p>
    <w:p w14:paraId="471BCDF1" w14:textId="543DF8D0" w:rsidR="00FB257A" w:rsidRPr="007504E6" w:rsidRDefault="00483340" w:rsidP="00B9247E">
      <w:pPr>
        <w:keepNext/>
        <w:spacing w:line="276" w:lineRule="auto"/>
        <w:rPr>
          <w:rFonts w:ascii="Times New Roman" w:hAnsi="Times New Roman" w:cs="Times New Roman"/>
          <w:lang w:val="en-GB"/>
        </w:rPr>
      </w:pPr>
      <w:r w:rsidRPr="007504E6">
        <w:rPr>
          <w:noProof/>
          <w:lang w:val="en-GB"/>
        </w:rPr>
        <w:drawing>
          <wp:inline distT="0" distB="0" distL="0" distR="0" wp14:anchorId="687F1BC0" wp14:editId="5500160B">
            <wp:extent cx="5039995" cy="3482340"/>
            <wp:effectExtent l="0" t="0" r="8255" b="3810"/>
            <wp:docPr id="233" name="Chart 233">
              <a:extLst xmlns:a="http://schemas.openxmlformats.org/drawingml/2006/main">
                <a:ext uri="{FF2B5EF4-FFF2-40B4-BE49-F238E27FC236}">
                  <a16:creationId xmlns:a16="http://schemas.microsoft.com/office/drawing/2014/main" id="{A8A98B7A-95E3-46A9-AB5F-D5C5A0D73E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1147A08" w14:textId="30A1B088" w:rsidR="00E51B20" w:rsidRPr="007504E6" w:rsidRDefault="00655B3D" w:rsidP="001B0C98">
      <w:pPr>
        <w:pStyle w:val="Parakstszemobjekta"/>
        <w:jc w:val="center"/>
        <w:rPr>
          <w:rFonts w:ascii="Times New Roman" w:hAnsi="Times New Roman" w:cs="Times New Roman"/>
          <w:lang w:val="en-GB"/>
        </w:rPr>
      </w:pPr>
      <w:r w:rsidRPr="007504E6">
        <w:rPr>
          <w:lang w:val="en-GB"/>
        </w:rPr>
        <w:t>Fig</w:t>
      </w:r>
      <w:r w:rsidR="001B0C98" w:rsidRPr="007504E6">
        <w:rPr>
          <w:lang w:val="en-GB"/>
        </w:rPr>
        <w:t xml:space="preserve"> </w:t>
      </w:r>
      <w:r w:rsidR="00D64210" w:rsidRPr="007504E6">
        <w:rPr>
          <w:lang w:val="en-GB"/>
        </w:rPr>
        <w:fldChar w:fldCharType="begin"/>
      </w:r>
      <w:r w:rsidR="00D64210" w:rsidRPr="007504E6">
        <w:rPr>
          <w:lang w:val="en-GB"/>
        </w:rPr>
        <w:instrText xml:space="preserve"> SEQ Attēls \* ARABIC </w:instrText>
      </w:r>
      <w:r w:rsidR="00D64210" w:rsidRPr="007504E6">
        <w:rPr>
          <w:lang w:val="en-GB"/>
        </w:rPr>
        <w:fldChar w:fldCharType="separate"/>
      </w:r>
      <w:r w:rsidR="00D500F7">
        <w:rPr>
          <w:noProof/>
          <w:lang w:val="en-GB"/>
        </w:rPr>
        <w:t>16</w:t>
      </w:r>
      <w:r w:rsidR="00D64210" w:rsidRPr="007504E6">
        <w:rPr>
          <w:noProof/>
          <w:lang w:val="en-GB"/>
        </w:rPr>
        <w:fldChar w:fldCharType="end"/>
      </w:r>
      <w:r w:rsidR="001B0C98" w:rsidRPr="007504E6">
        <w:rPr>
          <w:lang w:val="en-GB"/>
        </w:rPr>
        <w:t xml:space="preserve">. </w:t>
      </w:r>
      <w:r w:rsidRPr="007504E6">
        <w:rPr>
          <w:rFonts w:ascii="Times New Roman" w:hAnsi="Times New Roman" w:cs="Times New Roman"/>
          <w:lang w:val="en-GB"/>
        </w:rPr>
        <w:t>Forecasts of changes in urban infrastructure costs by types of resources 2021-2025</w:t>
      </w:r>
      <w:r w:rsidR="00616F24" w:rsidRPr="007504E6">
        <w:rPr>
          <w:rFonts w:ascii="Times New Roman" w:hAnsi="Times New Roman" w:cs="Times New Roman"/>
          <w:lang w:val="en-GB"/>
        </w:rPr>
        <w:t>.</w:t>
      </w:r>
    </w:p>
    <w:p w14:paraId="7712595C" w14:textId="1D8EB6B3" w:rsidR="00655B3D" w:rsidRPr="007504E6" w:rsidRDefault="00655B3D" w:rsidP="00616F24">
      <w:pPr>
        <w:spacing w:line="276" w:lineRule="auto"/>
        <w:ind w:firstLine="0"/>
        <w:rPr>
          <w:rFonts w:ascii="Times New Roman" w:hAnsi="Times New Roman" w:cs="Times New Roman"/>
          <w:lang w:val="en-GB"/>
        </w:rPr>
      </w:pPr>
      <w:r w:rsidRPr="007504E6">
        <w:rPr>
          <w:rFonts w:ascii="Times New Roman" w:hAnsi="Times New Roman" w:cs="Times New Roman"/>
          <w:lang w:val="en-GB"/>
        </w:rPr>
        <w:t>The specialized construction sub-sector also has similar trends to other sub-sectors, where the cost of construction materials has become the most important position in 2021 and could increase by 15.8%, and already next year only by 6.7% and lower in subsequent years. Atypically for other sub-sectors, below-wage growth is projected to be only 5.1% in 2021, which could grow slightly faster in 8.322 by 8.3%, but return to the level of the 2021 forecast and 2023-2025. to grow by an average of 5.1% per year over the period</w:t>
      </w:r>
      <w:r w:rsidR="00E04BA5" w:rsidRPr="007504E6">
        <w:rPr>
          <w:rFonts w:ascii="Times New Roman" w:hAnsi="Times New Roman" w:cs="Times New Roman"/>
          <w:lang w:val="en-GB"/>
        </w:rPr>
        <w:t>.</w:t>
      </w:r>
    </w:p>
    <w:p w14:paraId="67594F86" w14:textId="1C53A01B" w:rsidR="00813298" w:rsidRPr="007504E6" w:rsidRDefault="00E04BA5" w:rsidP="00616F24">
      <w:pPr>
        <w:spacing w:line="276" w:lineRule="auto"/>
        <w:ind w:firstLine="0"/>
        <w:rPr>
          <w:rFonts w:ascii="Times New Roman" w:hAnsi="Times New Roman" w:cs="Times New Roman"/>
          <w:lang w:val="en-GB"/>
        </w:rPr>
      </w:pPr>
      <w:r w:rsidRPr="007504E6">
        <w:rPr>
          <w:rFonts w:ascii="Times New Roman" w:hAnsi="Times New Roman" w:cs="Times New Roman"/>
          <w:lang w:val="en-GB"/>
        </w:rPr>
        <w:t xml:space="preserve"> </w:t>
      </w:r>
    </w:p>
    <w:p w14:paraId="36C21048" w14:textId="257EF44B" w:rsidR="00B43CD6" w:rsidRPr="007504E6" w:rsidRDefault="005D3622" w:rsidP="00B9247E">
      <w:pPr>
        <w:keepNext/>
        <w:spacing w:line="276" w:lineRule="auto"/>
        <w:rPr>
          <w:rFonts w:ascii="Times New Roman" w:hAnsi="Times New Roman" w:cs="Times New Roman"/>
          <w:lang w:val="en-GB"/>
        </w:rPr>
      </w:pPr>
      <w:r w:rsidRPr="007504E6">
        <w:rPr>
          <w:noProof/>
          <w:lang w:val="en-GB"/>
        </w:rPr>
        <w:drawing>
          <wp:inline distT="0" distB="0" distL="0" distR="0" wp14:anchorId="126EAFC6" wp14:editId="512C634A">
            <wp:extent cx="5039995" cy="3558540"/>
            <wp:effectExtent l="0" t="0" r="8255" b="3810"/>
            <wp:docPr id="234" name="Chart 234">
              <a:extLst xmlns:a="http://schemas.openxmlformats.org/drawingml/2006/main">
                <a:ext uri="{FF2B5EF4-FFF2-40B4-BE49-F238E27FC236}">
                  <a16:creationId xmlns:a16="http://schemas.microsoft.com/office/drawing/2014/main" id="{6EC798D8-137B-480E-A1A4-E0E3DCCD81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63973C4" w14:textId="38EE39B4" w:rsidR="00E51B20" w:rsidRPr="007504E6" w:rsidRDefault="00520F98" w:rsidP="00521077">
      <w:pPr>
        <w:pStyle w:val="Parakstszemobjekta"/>
        <w:jc w:val="center"/>
        <w:rPr>
          <w:rFonts w:ascii="Times New Roman" w:hAnsi="Times New Roman" w:cs="Times New Roman"/>
          <w:lang w:val="en-GB"/>
        </w:rPr>
      </w:pPr>
      <w:r w:rsidRPr="007504E6">
        <w:rPr>
          <w:lang w:val="en-GB"/>
        </w:rPr>
        <w:t>Fig</w:t>
      </w:r>
      <w:r w:rsidR="001B0C98" w:rsidRPr="007504E6">
        <w:rPr>
          <w:lang w:val="en-GB"/>
        </w:rPr>
        <w:t xml:space="preserve"> </w:t>
      </w:r>
      <w:r w:rsidR="00D64210" w:rsidRPr="007504E6">
        <w:rPr>
          <w:lang w:val="en-GB"/>
        </w:rPr>
        <w:fldChar w:fldCharType="begin"/>
      </w:r>
      <w:r w:rsidR="00D64210" w:rsidRPr="007504E6">
        <w:rPr>
          <w:lang w:val="en-GB"/>
        </w:rPr>
        <w:instrText xml:space="preserve"> SEQ Attēls \* ARABIC </w:instrText>
      </w:r>
      <w:r w:rsidR="00D64210" w:rsidRPr="007504E6">
        <w:rPr>
          <w:lang w:val="en-GB"/>
        </w:rPr>
        <w:fldChar w:fldCharType="separate"/>
      </w:r>
      <w:r w:rsidR="00D500F7">
        <w:rPr>
          <w:noProof/>
          <w:lang w:val="en-GB"/>
        </w:rPr>
        <w:t>17</w:t>
      </w:r>
      <w:r w:rsidR="00D64210" w:rsidRPr="007504E6">
        <w:rPr>
          <w:noProof/>
          <w:lang w:val="en-GB"/>
        </w:rPr>
        <w:fldChar w:fldCharType="end"/>
      </w:r>
      <w:r w:rsidR="001B0C98" w:rsidRPr="007504E6">
        <w:rPr>
          <w:lang w:val="en-GB"/>
        </w:rPr>
        <w:t xml:space="preserve">. </w:t>
      </w:r>
      <w:r w:rsidR="002355AE" w:rsidRPr="007504E6">
        <w:rPr>
          <w:rFonts w:ascii="Times New Roman" w:hAnsi="Times New Roman" w:cs="Times New Roman"/>
          <w:lang w:val="en-GB"/>
        </w:rPr>
        <w:t>Forecasts of changes in costs of specialized construction works by types of resources 2021-2025</w:t>
      </w:r>
      <w:r w:rsidR="00D75B88" w:rsidRPr="007504E6">
        <w:rPr>
          <w:rFonts w:ascii="Times New Roman" w:hAnsi="Times New Roman" w:cs="Times New Roman"/>
          <w:lang w:val="en-GB"/>
        </w:rPr>
        <w:t>.</w:t>
      </w:r>
    </w:p>
    <w:p w14:paraId="3A8F6FA2" w14:textId="3E84AC55" w:rsidR="00E51B20" w:rsidRPr="007504E6" w:rsidRDefault="002355AE" w:rsidP="00D75B88">
      <w:pPr>
        <w:spacing w:line="276" w:lineRule="auto"/>
        <w:ind w:firstLine="0"/>
        <w:rPr>
          <w:rFonts w:ascii="Times New Roman" w:hAnsi="Times New Roman" w:cs="Times New Roman"/>
          <w:lang w:val="en-GB"/>
        </w:rPr>
      </w:pPr>
      <w:r w:rsidRPr="007504E6">
        <w:rPr>
          <w:rFonts w:ascii="Times New Roman" w:hAnsi="Times New Roman" w:cs="Times New Roman"/>
          <w:lang w:val="en-GB"/>
        </w:rPr>
        <w:t>The study shows a clear tendency that in 2021, the cost of construction materials will be the main item, which will create an increase in costs in all sub-sectors related to construction. Therefore, for the first time, the survey also conducted a survey of manufacturers and traders of construction materials in order to assess trends in the nature of changes in the costs of various construction materials</w:t>
      </w:r>
      <w:r w:rsidR="00B43CD6" w:rsidRPr="007504E6">
        <w:rPr>
          <w:rFonts w:ascii="Times New Roman" w:hAnsi="Times New Roman" w:cs="Times New Roman"/>
          <w:lang w:val="en-GB"/>
        </w:rPr>
        <w:t xml:space="preserve">. </w:t>
      </w:r>
    </w:p>
    <w:p w14:paraId="58A878A4" w14:textId="77777777" w:rsidR="00B43CD6" w:rsidRPr="007504E6" w:rsidRDefault="00B43CD6" w:rsidP="00B9247E">
      <w:pPr>
        <w:spacing w:line="276" w:lineRule="auto"/>
        <w:rPr>
          <w:rFonts w:ascii="Times New Roman" w:hAnsi="Times New Roman" w:cs="Times New Roman"/>
          <w:lang w:val="en-GB"/>
        </w:rPr>
      </w:pPr>
    </w:p>
    <w:p w14:paraId="175FAABB" w14:textId="59F8B410" w:rsidR="00B43CD6" w:rsidRPr="007504E6" w:rsidRDefault="002355AE" w:rsidP="00D64210">
      <w:pPr>
        <w:pStyle w:val="Virsraksts3"/>
        <w:numPr>
          <w:ilvl w:val="2"/>
          <w:numId w:val="5"/>
        </w:numPr>
        <w:spacing w:line="276" w:lineRule="auto"/>
        <w:rPr>
          <w:rFonts w:ascii="Times New Roman" w:hAnsi="Times New Roman" w:cs="Times New Roman"/>
          <w:b/>
          <w:bCs/>
          <w:color w:val="262626" w:themeColor="text1" w:themeTint="D9"/>
          <w:sz w:val="24"/>
          <w:szCs w:val="28"/>
          <w:lang w:val="en-GB"/>
        </w:rPr>
      </w:pPr>
      <w:r w:rsidRPr="007504E6">
        <w:rPr>
          <w:rFonts w:ascii="Times New Roman" w:hAnsi="Times New Roman" w:cs="Times New Roman"/>
          <w:b/>
          <w:bCs/>
          <w:color w:val="262626" w:themeColor="text1" w:themeTint="D9"/>
          <w:sz w:val="24"/>
          <w:szCs w:val="28"/>
          <w:lang w:val="en-GB"/>
        </w:rPr>
        <w:t>Changes and structure of construction material costs</w:t>
      </w:r>
    </w:p>
    <w:p w14:paraId="4C2574E4" w14:textId="77777777" w:rsidR="00B43CD6" w:rsidRPr="007504E6" w:rsidRDefault="00B43CD6" w:rsidP="00B9247E">
      <w:pPr>
        <w:spacing w:line="276" w:lineRule="auto"/>
        <w:rPr>
          <w:rFonts w:ascii="Times New Roman" w:hAnsi="Times New Roman" w:cs="Times New Roman"/>
          <w:lang w:val="en-GB"/>
        </w:rPr>
      </w:pPr>
    </w:p>
    <w:p w14:paraId="5BB722E0" w14:textId="77777777" w:rsidR="00A343D0" w:rsidRPr="007504E6" w:rsidRDefault="00A343D0" w:rsidP="00A343D0">
      <w:pPr>
        <w:spacing w:line="276" w:lineRule="auto"/>
        <w:ind w:firstLine="0"/>
        <w:rPr>
          <w:rFonts w:ascii="Times New Roman" w:hAnsi="Times New Roman" w:cs="Times New Roman"/>
          <w:lang w:val="en-GB"/>
        </w:rPr>
      </w:pPr>
      <w:r w:rsidRPr="007504E6">
        <w:rPr>
          <w:rFonts w:ascii="Times New Roman" w:hAnsi="Times New Roman" w:cs="Times New Roman"/>
          <w:lang w:val="en-GB"/>
        </w:rPr>
        <w:t>In order to find out the changes in the costs of various construction materials in 2021 and the expected next years, manufacturers of building materials, traders and their representatives were interviewed in order to assess the forecasts of changes in the costs of the most important construction materials, finishing materials and systems.</w:t>
      </w:r>
    </w:p>
    <w:p w14:paraId="1BC1CA9D" w14:textId="77777777" w:rsidR="00A343D0" w:rsidRPr="007504E6" w:rsidRDefault="00A343D0" w:rsidP="00A343D0">
      <w:pPr>
        <w:spacing w:line="276" w:lineRule="auto"/>
        <w:ind w:firstLine="0"/>
        <w:rPr>
          <w:rFonts w:ascii="Times New Roman" w:hAnsi="Times New Roman" w:cs="Times New Roman"/>
          <w:lang w:val="en-GB"/>
        </w:rPr>
      </w:pPr>
    </w:p>
    <w:p w14:paraId="6E9EE9B2" w14:textId="6A68C82F" w:rsidR="00A1367B" w:rsidRPr="007504E6" w:rsidRDefault="00A343D0" w:rsidP="00A343D0">
      <w:pPr>
        <w:spacing w:line="276" w:lineRule="auto"/>
        <w:ind w:firstLine="0"/>
        <w:rPr>
          <w:rFonts w:ascii="Times New Roman" w:hAnsi="Times New Roman" w:cs="Times New Roman"/>
          <w:lang w:val="en-GB"/>
        </w:rPr>
      </w:pPr>
      <w:r w:rsidRPr="007504E6">
        <w:rPr>
          <w:rFonts w:ascii="Times New Roman" w:hAnsi="Times New Roman" w:cs="Times New Roman"/>
          <w:lang w:val="en-GB"/>
        </w:rPr>
        <w:t>Based on the research materials in the field of international construction, within the framework of the study, a classification of construction materials was created by dividing them into three main groups</w:t>
      </w:r>
      <w:r w:rsidR="00A1367B" w:rsidRPr="007504E6">
        <w:rPr>
          <w:rFonts w:ascii="Times New Roman" w:hAnsi="Times New Roman" w:cs="Times New Roman"/>
          <w:lang w:val="en-GB"/>
        </w:rPr>
        <w:t>:</w:t>
      </w:r>
    </w:p>
    <w:p w14:paraId="558277CF" w14:textId="65062D2C" w:rsidR="00A343D0" w:rsidRPr="007504E6" w:rsidRDefault="00A343D0" w:rsidP="00A343D0">
      <w:pPr>
        <w:pStyle w:val="Sarakstarindkopa"/>
        <w:numPr>
          <w:ilvl w:val="0"/>
          <w:numId w:val="10"/>
        </w:numPr>
        <w:spacing w:line="276" w:lineRule="auto"/>
        <w:rPr>
          <w:rFonts w:ascii="Times New Roman" w:hAnsi="Times New Roman" w:cs="Times New Roman"/>
          <w:lang w:val="en-GB"/>
        </w:rPr>
      </w:pPr>
      <w:r w:rsidRPr="007504E6">
        <w:rPr>
          <w:rFonts w:ascii="Times New Roman" w:hAnsi="Times New Roman" w:cs="Times New Roman"/>
          <w:lang w:val="en-GB"/>
        </w:rPr>
        <w:t>Basic building materials;</w:t>
      </w:r>
    </w:p>
    <w:p w14:paraId="093B194B" w14:textId="777C0EE2" w:rsidR="00A343D0" w:rsidRPr="007504E6" w:rsidRDefault="00A343D0" w:rsidP="00A343D0">
      <w:pPr>
        <w:pStyle w:val="Sarakstarindkopa"/>
        <w:numPr>
          <w:ilvl w:val="0"/>
          <w:numId w:val="10"/>
        </w:numPr>
        <w:spacing w:line="276" w:lineRule="auto"/>
        <w:rPr>
          <w:rFonts w:ascii="Times New Roman" w:hAnsi="Times New Roman" w:cs="Times New Roman"/>
          <w:lang w:val="en-GB"/>
        </w:rPr>
      </w:pPr>
      <w:r w:rsidRPr="007504E6">
        <w:rPr>
          <w:rFonts w:ascii="Times New Roman" w:hAnsi="Times New Roman" w:cs="Times New Roman"/>
          <w:lang w:val="en-GB"/>
        </w:rPr>
        <w:t>Finishing materials;</w:t>
      </w:r>
    </w:p>
    <w:p w14:paraId="66C1FE88" w14:textId="1BF2FF9A" w:rsidR="008509E6" w:rsidRPr="007504E6" w:rsidRDefault="00A343D0" w:rsidP="00A343D0">
      <w:pPr>
        <w:pStyle w:val="Sarakstarindkopa"/>
        <w:numPr>
          <w:ilvl w:val="0"/>
          <w:numId w:val="10"/>
        </w:numPr>
        <w:spacing w:line="276" w:lineRule="auto"/>
        <w:rPr>
          <w:rFonts w:ascii="Times New Roman" w:hAnsi="Times New Roman" w:cs="Times New Roman"/>
          <w:lang w:val="en-GB"/>
        </w:rPr>
      </w:pPr>
      <w:r w:rsidRPr="007504E6">
        <w:rPr>
          <w:rFonts w:ascii="Times New Roman" w:hAnsi="Times New Roman" w:cs="Times New Roman"/>
          <w:lang w:val="en-GB"/>
        </w:rPr>
        <w:t>Main system equipment</w:t>
      </w:r>
      <w:r w:rsidR="008509E6" w:rsidRPr="007504E6">
        <w:rPr>
          <w:rFonts w:ascii="Times New Roman" w:hAnsi="Times New Roman" w:cs="Times New Roman"/>
          <w:lang w:val="en-GB"/>
        </w:rPr>
        <w:t>.</w:t>
      </w:r>
    </w:p>
    <w:p w14:paraId="57487E32" w14:textId="77777777" w:rsidR="0033759A" w:rsidRPr="007504E6" w:rsidRDefault="0033759A" w:rsidP="0033759A">
      <w:pPr>
        <w:spacing w:line="276" w:lineRule="auto"/>
        <w:ind w:firstLine="0"/>
        <w:rPr>
          <w:rFonts w:ascii="Times New Roman" w:hAnsi="Times New Roman" w:cs="Times New Roman"/>
          <w:lang w:val="en-GB"/>
        </w:rPr>
      </w:pPr>
    </w:p>
    <w:p w14:paraId="2434D1E9" w14:textId="2A4D40AC" w:rsidR="008509E6" w:rsidRPr="007504E6" w:rsidRDefault="006C06B4" w:rsidP="0033759A">
      <w:pPr>
        <w:spacing w:line="276" w:lineRule="auto"/>
        <w:ind w:firstLine="0"/>
        <w:rPr>
          <w:rFonts w:ascii="Times New Roman" w:hAnsi="Times New Roman" w:cs="Times New Roman"/>
          <w:lang w:val="en-GB"/>
        </w:rPr>
      </w:pPr>
      <w:r w:rsidRPr="007504E6">
        <w:rPr>
          <w:rFonts w:ascii="Times New Roman" w:hAnsi="Times New Roman" w:cs="Times New Roman"/>
          <w:lang w:val="en-GB"/>
        </w:rPr>
        <w:t>In the group of basic building materials, experts predict the most significant increase in costs. The main increase is forecast for timber and metal products. In 2021, the average estimate of experts for the increase in the cost of metal products is 24.3%, while for timber an increase of 30.0% is forecast. Estimates of all other basic building materials are within one digit</w:t>
      </w:r>
      <w:r w:rsidR="00022D38" w:rsidRPr="007504E6">
        <w:rPr>
          <w:rFonts w:ascii="Times New Roman" w:hAnsi="Times New Roman" w:cs="Times New Roman"/>
          <w:lang w:val="en-GB"/>
        </w:rPr>
        <w:t>.</w:t>
      </w:r>
    </w:p>
    <w:p w14:paraId="6E88E8AB" w14:textId="1995B573" w:rsidR="00022D38" w:rsidRPr="007504E6" w:rsidRDefault="002C7DE4" w:rsidP="00B9247E">
      <w:pPr>
        <w:keepNext/>
        <w:spacing w:line="276" w:lineRule="auto"/>
        <w:rPr>
          <w:rFonts w:ascii="Times New Roman" w:hAnsi="Times New Roman" w:cs="Times New Roman"/>
          <w:lang w:val="en-GB"/>
        </w:rPr>
      </w:pPr>
      <w:r w:rsidRPr="007504E6">
        <w:rPr>
          <w:noProof/>
          <w:lang w:val="en-GB"/>
        </w:rPr>
        <w:drawing>
          <wp:inline distT="0" distB="0" distL="0" distR="0" wp14:anchorId="1F5EC10A" wp14:editId="5D6E8142">
            <wp:extent cx="5257800" cy="3291840"/>
            <wp:effectExtent l="0" t="0" r="0" b="3810"/>
            <wp:docPr id="237" name="Chart 237">
              <a:extLst xmlns:a="http://schemas.openxmlformats.org/drawingml/2006/main">
                <a:ext uri="{FF2B5EF4-FFF2-40B4-BE49-F238E27FC236}">
                  <a16:creationId xmlns:a16="http://schemas.microsoft.com/office/drawing/2014/main" id="{7FA0C821-8882-47B2-8587-069853870A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752CB97" w14:textId="121501A9" w:rsidR="00D7539E" w:rsidRPr="007504E6" w:rsidRDefault="006C06B4" w:rsidP="00521077">
      <w:pPr>
        <w:pStyle w:val="Parakstszemobjekta"/>
        <w:jc w:val="center"/>
        <w:rPr>
          <w:rFonts w:ascii="Times New Roman" w:hAnsi="Times New Roman" w:cs="Times New Roman"/>
          <w:lang w:val="en-GB"/>
        </w:rPr>
      </w:pPr>
      <w:r w:rsidRPr="007504E6">
        <w:rPr>
          <w:lang w:val="en-GB"/>
        </w:rPr>
        <w:t>Fig</w:t>
      </w:r>
      <w:r w:rsidR="001B0C98" w:rsidRPr="007504E6">
        <w:rPr>
          <w:lang w:val="en-GB"/>
        </w:rPr>
        <w:t xml:space="preserve"> </w:t>
      </w:r>
      <w:r w:rsidR="00D64210" w:rsidRPr="007504E6">
        <w:rPr>
          <w:lang w:val="en-GB"/>
        </w:rPr>
        <w:fldChar w:fldCharType="begin"/>
      </w:r>
      <w:r w:rsidR="00D64210" w:rsidRPr="007504E6">
        <w:rPr>
          <w:lang w:val="en-GB"/>
        </w:rPr>
        <w:instrText xml:space="preserve"> SEQ Attēls \* ARABIC </w:instrText>
      </w:r>
      <w:r w:rsidR="00D64210" w:rsidRPr="007504E6">
        <w:rPr>
          <w:lang w:val="en-GB"/>
        </w:rPr>
        <w:fldChar w:fldCharType="separate"/>
      </w:r>
      <w:r w:rsidR="00D500F7">
        <w:rPr>
          <w:noProof/>
          <w:lang w:val="en-GB"/>
        </w:rPr>
        <w:t>18</w:t>
      </w:r>
      <w:r w:rsidR="00D64210" w:rsidRPr="007504E6">
        <w:rPr>
          <w:noProof/>
          <w:lang w:val="en-GB"/>
        </w:rPr>
        <w:fldChar w:fldCharType="end"/>
      </w:r>
      <w:r w:rsidR="001B0C98" w:rsidRPr="007504E6">
        <w:rPr>
          <w:lang w:val="en-GB"/>
        </w:rPr>
        <w:t xml:space="preserve">. </w:t>
      </w:r>
      <w:r w:rsidR="00064767" w:rsidRPr="007504E6">
        <w:rPr>
          <w:rFonts w:ascii="Times New Roman" w:hAnsi="Times New Roman" w:cs="Times New Roman"/>
          <w:lang w:val="en-GB"/>
        </w:rPr>
        <w:t>Expert assessments of changes in the cost of basic building materials</w:t>
      </w:r>
      <w:r w:rsidR="00022D38" w:rsidRPr="007504E6">
        <w:rPr>
          <w:rFonts w:ascii="Times New Roman" w:hAnsi="Times New Roman" w:cs="Times New Roman"/>
          <w:lang w:val="en-GB"/>
        </w:rPr>
        <w:t>.</w:t>
      </w:r>
    </w:p>
    <w:p w14:paraId="7E956823" w14:textId="6EACC81C" w:rsidR="00526E8B" w:rsidRPr="007504E6" w:rsidRDefault="00064767" w:rsidP="00D7539E">
      <w:pPr>
        <w:spacing w:line="276" w:lineRule="auto"/>
        <w:ind w:firstLine="0"/>
        <w:rPr>
          <w:rFonts w:ascii="Times New Roman" w:hAnsi="Times New Roman" w:cs="Times New Roman"/>
          <w:lang w:val="en-GB"/>
        </w:rPr>
      </w:pPr>
      <w:r w:rsidRPr="007504E6">
        <w:rPr>
          <w:rFonts w:ascii="Times New Roman" w:hAnsi="Times New Roman" w:cs="Times New Roman"/>
          <w:lang w:val="en-GB"/>
        </w:rPr>
        <w:t>In the category of finishing materials, relatively lower cost increase trends are observed. However, here too, parallels can be seen with the significant increase in timber costs in 2021. In this case, the only item for which the projected cost increase exceeds the 10% mark is interior decoration materials with 11%, which may be related to the woods often used in them</w:t>
      </w:r>
      <w:r w:rsidR="00E64218" w:rsidRPr="007504E6">
        <w:rPr>
          <w:rFonts w:ascii="Times New Roman" w:hAnsi="Times New Roman" w:cs="Times New Roman"/>
          <w:lang w:val="en-GB"/>
        </w:rPr>
        <w:t xml:space="preserve">. </w:t>
      </w:r>
    </w:p>
    <w:p w14:paraId="525FF84E" w14:textId="3B9563C3" w:rsidR="00D7539E" w:rsidRPr="007504E6" w:rsidRDefault="009A26EB" w:rsidP="00D7539E">
      <w:pPr>
        <w:spacing w:line="276" w:lineRule="auto"/>
        <w:ind w:firstLine="0"/>
        <w:rPr>
          <w:rFonts w:ascii="Times New Roman" w:hAnsi="Times New Roman" w:cs="Times New Roman"/>
          <w:lang w:val="en-GB"/>
        </w:rPr>
      </w:pPr>
      <w:r w:rsidRPr="007504E6">
        <w:rPr>
          <w:noProof/>
          <w:lang w:val="en-GB"/>
        </w:rPr>
        <w:drawing>
          <wp:inline distT="0" distB="0" distL="0" distR="0" wp14:anchorId="6D210BED" wp14:editId="0506B860">
            <wp:extent cx="5593080" cy="2971800"/>
            <wp:effectExtent l="0" t="0" r="7620" b="0"/>
            <wp:docPr id="238" name="Chart 238">
              <a:extLst xmlns:a="http://schemas.openxmlformats.org/drawingml/2006/main">
                <a:ext uri="{FF2B5EF4-FFF2-40B4-BE49-F238E27FC236}">
                  <a16:creationId xmlns:a16="http://schemas.microsoft.com/office/drawing/2014/main" id="{A926BE85-B700-4B0C-9D42-0F3CC1744E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E025173" w14:textId="1DF48D0C" w:rsidR="00022D38" w:rsidRPr="007504E6" w:rsidRDefault="00022D38" w:rsidP="00B9247E">
      <w:pPr>
        <w:keepNext/>
        <w:spacing w:line="276" w:lineRule="auto"/>
        <w:rPr>
          <w:rFonts w:ascii="Times New Roman" w:hAnsi="Times New Roman" w:cs="Times New Roman"/>
          <w:lang w:val="en-GB"/>
        </w:rPr>
      </w:pPr>
    </w:p>
    <w:p w14:paraId="0C47FAFC" w14:textId="4A39E2EB" w:rsidR="00526E8B" w:rsidRPr="007504E6" w:rsidRDefault="00064767" w:rsidP="005F622A">
      <w:pPr>
        <w:pStyle w:val="Parakstszemobjekta"/>
        <w:jc w:val="center"/>
        <w:rPr>
          <w:rFonts w:ascii="Times New Roman" w:hAnsi="Times New Roman" w:cs="Times New Roman"/>
          <w:lang w:val="en-GB"/>
        </w:rPr>
      </w:pPr>
      <w:r w:rsidRPr="007504E6">
        <w:rPr>
          <w:lang w:val="en-GB"/>
        </w:rPr>
        <w:t>Fig</w:t>
      </w:r>
      <w:r w:rsidR="001B0C98" w:rsidRPr="007504E6">
        <w:rPr>
          <w:lang w:val="en-GB"/>
        </w:rPr>
        <w:t xml:space="preserve"> </w:t>
      </w:r>
      <w:r w:rsidR="00D64210" w:rsidRPr="007504E6">
        <w:rPr>
          <w:lang w:val="en-GB"/>
        </w:rPr>
        <w:fldChar w:fldCharType="begin"/>
      </w:r>
      <w:r w:rsidR="00D64210" w:rsidRPr="007504E6">
        <w:rPr>
          <w:lang w:val="en-GB"/>
        </w:rPr>
        <w:instrText xml:space="preserve"> SEQ Attēls \* ARABIC </w:instrText>
      </w:r>
      <w:r w:rsidR="00D64210" w:rsidRPr="007504E6">
        <w:rPr>
          <w:lang w:val="en-GB"/>
        </w:rPr>
        <w:fldChar w:fldCharType="separate"/>
      </w:r>
      <w:r w:rsidR="00D500F7">
        <w:rPr>
          <w:noProof/>
          <w:lang w:val="en-GB"/>
        </w:rPr>
        <w:t>19</w:t>
      </w:r>
      <w:r w:rsidR="00D64210" w:rsidRPr="007504E6">
        <w:rPr>
          <w:noProof/>
          <w:lang w:val="en-GB"/>
        </w:rPr>
        <w:fldChar w:fldCharType="end"/>
      </w:r>
      <w:r w:rsidR="001B0C98" w:rsidRPr="007504E6">
        <w:rPr>
          <w:lang w:val="en-GB"/>
        </w:rPr>
        <w:t xml:space="preserve">. </w:t>
      </w:r>
      <w:r w:rsidR="000C4B1D" w:rsidRPr="007504E6">
        <w:rPr>
          <w:rFonts w:ascii="Times New Roman" w:hAnsi="Times New Roman" w:cs="Times New Roman"/>
          <w:lang w:val="en-GB"/>
        </w:rPr>
        <w:t>Expert evaluations of changes in the cost of finishing materials</w:t>
      </w:r>
      <w:r w:rsidR="00052297" w:rsidRPr="007504E6">
        <w:rPr>
          <w:rFonts w:ascii="Times New Roman" w:hAnsi="Times New Roman" w:cs="Times New Roman"/>
          <w:lang w:val="en-GB"/>
        </w:rPr>
        <w:t>.</w:t>
      </w:r>
    </w:p>
    <w:p w14:paraId="5354919E" w14:textId="69869571" w:rsidR="00022D38" w:rsidRPr="007504E6" w:rsidRDefault="000C4B1D" w:rsidP="00962DC0">
      <w:pPr>
        <w:spacing w:line="276" w:lineRule="auto"/>
        <w:ind w:firstLine="0"/>
        <w:rPr>
          <w:rFonts w:ascii="Times New Roman" w:hAnsi="Times New Roman" w:cs="Times New Roman"/>
          <w:lang w:val="en-GB"/>
        </w:rPr>
      </w:pPr>
      <w:r w:rsidRPr="007504E6">
        <w:rPr>
          <w:rFonts w:ascii="Times New Roman" w:hAnsi="Times New Roman" w:cs="Times New Roman"/>
          <w:lang w:val="en-GB"/>
        </w:rPr>
        <w:t xml:space="preserve">In the case of the main construction system equipment, experts predict a moderate increase in costs, with the exception of electricity systems with a 16% increase in costs and lifts and escalators with a 7.67% increase in </w:t>
      </w:r>
      <w:r w:rsidR="00E26D27" w:rsidRPr="007504E6">
        <w:rPr>
          <w:rFonts w:ascii="Times New Roman" w:hAnsi="Times New Roman" w:cs="Times New Roman"/>
          <w:lang w:val="en-GB"/>
        </w:rPr>
        <w:t>2021.</w:t>
      </w:r>
    </w:p>
    <w:p w14:paraId="31D90D18" w14:textId="157699EB" w:rsidR="00A43B7E" w:rsidRPr="007504E6" w:rsidRDefault="00E26FDA" w:rsidP="00962DC0">
      <w:pPr>
        <w:spacing w:line="276" w:lineRule="auto"/>
        <w:ind w:firstLine="0"/>
        <w:rPr>
          <w:rFonts w:ascii="Times New Roman" w:hAnsi="Times New Roman" w:cs="Times New Roman"/>
          <w:lang w:val="en-GB"/>
        </w:rPr>
      </w:pPr>
      <w:r w:rsidRPr="007504E6">
        <w:rPr>
          <w:noProof/>
          <w:lang w:val="en-GB"/>
        </w:rPr>
        <w:drawing>
          <wp:inline distT="0" distB="0" distL="0" distR="0" wp14:anchorId="01FB9B0D" wp14:editId="27AA5782">
            <wp:extent cx="5676900" cy="3192780"/>
            <wp:effectExtent l="0" t="0" r="0" b="7620"/>
            <wp:docPr id="239" name="Chart 239">
              <a:extLst xmlns:a="http://schemas.openxmlformats.org/drawingml/2006/main">
                <a:ext uri="{FF2B5EF4-FFF2-40B4-BE49-F238E27FC236}">
                  <a16:creationId xmlns:a16="http://schemas.microsoft.com/office/drawing/2014/main" id="{83057CB7-8C41-4778-99D8-D5EDF1F9CE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259DD89" w14:textId="34580A2A" w:rsidR="00526E8B" w:rsidRPr="007504E6" w:rsidRDefault="000C4B1D" w:rsidP="005F622A">
      <w:pPr>
        <w:pStyle w:val="Parakstszemobjekta"/>
        <w:jc w:val="center"/>
        <w:rPr>
          <w:rFonts w:ascii="Times New Roman" w:hAnsi="Times New Roman" w:cs="Times New Roman"/>
          <w:lang w:val="en-GB"/>
        </w:rPr>
      </w:pPr>
      <w:r w:rsidRPr="007504E6">
        <w:rPr>
          <w:lang w:val="en-GB"/>
        </w:rPr>
        <w:t>Fig</w:t>
      </w:r>
      <w:r w:rsidR="001B0C98" w:rsidRPr="007504E6">
        <w:rPr>
          <w:lang w:val="en-GB"/>
        </w:rPr>
        <w:t xml:space="preserve"> </w:t>
      </w:r>
      <w:r w:rsidR="00D64210" w:rsidRPr="007504E6">
        <w:rPr>
          <w:lang w:val="en-GB"/>
        </w:rPr>
        <w:fldChar w:fldCharType="begin"/>
      </w:r>
      <w:r w:rsidR="00D64210" w:rsidRPr="007504E6">
        <w:rPr>
          <w:lang w:val="en-GB"/>
        </w:rPr>
        <w:instrText xml:space="preserve"> SEQ Attēls \* ARABIC </w:instrText>
      </w:r>
      <w:r w:rsidR="00D64210" w:rsidRPr="007504E6">
        <w:rPr>
          <w:lang w:val="en-GB"/>
        </w:rPr>
        <w:fldChar w:fldCharType="separate"/>
      </w:r>
      <w:r w:rsidR="00D500F7">
        <w:rPr>
          <w:noProof/>
          <w:lang w:val="en-GB"/>
        </w:rPr>
        <w:t>20</w:t>
      </w:r>
      <w:r w:rsidR="00D64210" w:rsidRPr="007504E6">
        <w:rPr>
          <w:noProof/>
          <w:lang w:val="en-GB"/>
        </w:rPr>
        <w:fldChar w:fldCharType="end"/>
      </w:r>
      <w:r w:rsidR="001B0C98" w:rsidRPr="007504E6">
        <w:rPr>
          <w:lang w:val="en-GB"/>
        </w:rPr>
        <w:t xml:space="preserve">. </w:t>
      </w:r>
      <w:r w:rsidRPr="007504E6">
        <w:rPr>
          <w:rFonts w:ascii="Times New Roman" w:hAnsi="Times New Roman" w:cs="Times New Roman"/>
          <w:lang w:val="en-GB"/>
        </w:rPr>
        <w:t>Expert evaluations of changes in the costs of the main system equipment</w:t>
      </w:r>
      <w:r w:rsidR="00022D38" w:rsidRPr="007504E6">
        <w:rPr>
          <w:rFonts w:ascii="Times New Roman" w:hAnsi="Times New Roman" w:cs="Times New Roman"/>
          <w:lang w:val="en-GB"/>
        </w:rPr>
        <w:t>.</w:t>
      </w:r>
    </w:p>
    <w:p w14:paraId="30BCD15E" w14:textId="77777777" w:rsidR="009D4648" w:rsidRPr="007504E6" w:rsidRDefault="009D4648" w:rsidP="009D4648">
      <w:pPr>
        <w:spacing w:line="276" w:lineRule="auto"/>
        <w:ind w:firstLine="0"/>
        <w:rPr>
          <w:rFonts w:ascii="Times New Roman" w:hAnsi="Times New Roman" w:cs="Times New Roman"/>
          <w:lang w:val="en-GB"/>
        </w:rPr>
      </w:pPr>
      <w:r w:rsidRPr="007504E6">
        <w:rPr>
          <w:rFonts w:ascii="Times New Roman" w:hAnsi="Times New Roman" w:cs="Times New Roman"/>
          <w:lang w:val="en-GB"/>
        </w:rPr>
        <w:t>The main cost growth items are directly or indirectly related to two basic raw materials - metals and wood, whose price increase is related to the breakdown of the market demand and supply balance in 2021 due to a significant increase in market supply, which cannot be maintained by the current market supply. Such a trend can be observed not only on a national or regional scale, but also on a global scale, which reduces the possibility of influencing prices on the Latvian scale by intervening in the market.</w:t>
      </w:r>
    </w:p>
    <w:p w14:paraId="56B8E035" w14:textId="77777777" w:rsidR="009D4648" w:rsidRPr="007504E6" w:rsidRDefault="009D4648" w:rsidP="009D4648">
      <w:pPr>
        <w:spacing w:line="276" w:lineRule="auto"/>
        <w:ind w:firstLine="0"/>
        <w:rPr>
          <w:rFonts w:ascii="Times New Roman" w:hAnsi="Times New Roman" w:cs="Times New Roman"/>
          <w:lang w:val="en-GB"/>
        </w:rPr>
      </w:pPr>
    </w:p>
    <w:p w14:paraId="0D7E4206" w14:textId="77777777" w:rsidR="009D4648" w:rsidRPr="007504E6" w:rsidRDefault="009D4648" w:rsidP="009D4648">
      <w:pPr>
        <w:spacing w:line="276" w:lineRule="auto"/>
        <w:ind w:firstLine="0"/>
        <w:rPr>
          <w:rFonts w:ascii="Times New Roman" w:hAnsi="Times New Roman" w:cs="Times New Roman"/>
          <w:lang w:val="en-GB"/>
        </w:rPr>
      </w:pPr>
      <w:r w:rsidRPr="007504E6">
        <w:rPr>
          <w:rFonts w:ascii="Times New Roman" w:hAnsi="Times New Roman" w:cs="Times New Roman"/>
          <w:lang w:val="en-GB"/>
        </w:rPr>
        <w:t>In parallel with the expert forecasts, the current trends in the field of construction material prices were considered, using the CSB data specially compiled for the Study on the price dynamics of various goods from 2015 to 2020. Particular emphasis was placed on the category of timber and metal products.</w:t>
      </w:r>
    </w:p>
    <w:p w14:paraId="3FB7A1D1" w14:textId="77777777" w:rsidR="009D4648" w:rsidRPr="007504E6" w:rsidRDefault="009D4648" w:rsidP="009D4648">
      <w:pPr>
        <w:spacing w:line="276" w:lineRule="auto"/>
        <w:ind w:firstLine="0"/>
        <w:rPr>
          <w:rFonts w:ascii="Times New Roman" w:hAnsi="Times New Roman" w:cs="Times New Roman"/>
          <w:lang w:val="en-GB"/>
        </w:rPr>
      </w:pPr>
    </w:p>
    <w:p w14:paraId="1C5FD150" w14:textId="414EB11E" w:rsidR="00AB3583" w:rsidRPr="007504E6" w:rsidRDefault="009D4648" w:rsidP="009D4648">
      <w:pPr>
        <w:spacing w:line="276" w:lineRule="auto"/>
        <w:ind w:firstLine="0"/>
        <w:rPr>
          <w:rFonts w:ascii="Times New Roman" w:hAnsi="Times New Roman" w:cs="Times New Roman"/>
          <w:lang w:val="en-GB"/>
        </w:rPr>
      </w:pPr>
      <w:r w:rsidRPr="007504E6">
        <w:rPr>
          <w:rFonts w:ascii="Times New Roman" w:hAnsi="Times New Roman" w:cs="Times New Roman"/>
          <w:lang w:val="en-GB"/>
        </w:rPr>
        <w:t>In the category of metal products, data were collected on metal products such as rolled steel, metal structures, products, bars and meshes, frames, various steel pipes, etc. In the period from 2015, changes in costs in these various categories have been observed in the range of -12.2% to + 16.2% compared to the previous year, thus it can be concluded that no price stability has been observed. Due to the lack of information on the share of metal products in the total production structure, it is not possible to accurately estimate the average cost of metal products, therefore in 2020, an expert estimate is used as an average</w:t>
      </w:r>
      <w:r w:rsidR="00AB3583" w:rsidRPr="007504E6">
        <w:rPr>
          <w:rFonts w:ascii="Times New Roman" w:hAnsi="Times New Roman" w:cs="Times New Roman"/>
          <w:lang w:val="en-GB"/>
        </w:rPr>
        <w:t xml:space="preserve">. </w:t>
      </w:r>
    </w:p>
    <w:p w14:paraId="4C2A86C7" w14:textId="5C065923" w:rsidR="00AB3583" w:rsidRPr="007504E6" w:rsidRDefault="00667959" w:rsidP="00962DC0">
      <w:pPr>
        <w:ind w:firstLine="0"/>
        <w:rPr>
          <w:rFonts w:ascii="Times New Roman" w:hAnsi="Times New Roman" w:cs="Times New Roman"/>
          <w:lang w:val="en-GB"/>
        </w:rPr>
      </w:pPr>
      <w:r w:rsidRPr="007504E6">
        <w:rPr>
          <w:noProof/>
          <w:lang w:val="en-GB"/>
        </w:rPr>
        <w:drawing>
          <wp:inline distT="0" distB="0" distL="0" distR="0" wp14:anchorId="7A96896D" wp14:editId="3A7D838A">
            <wp:extent cx="5732145" cy="5044440"/>
            <wp:effectExtent l="0" t="0" r="1905" b="3810"/>
            <wp:docPr id="240" name="Chart 240">
              <a:extLst xmlns:a="http://schemas.openxmlformats.org/drawingml/2006/main">
                <a:ext uri="{FF2B5EF4-FFF2-40B4-BE49-F238E27FC236}">
                  <a16:creationId xmlns:a16="http://schemas.microsoft.com/office/drawing/2014/main" id="{7DF3359F-562C-4429-AD2F-01FCEC1277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2EDADF3" w14:textId="4E145D4D" w:rsidR="00AB3583" w:rsidRPr="007504E6" w:rsidRDefault="009D4648" w:rsidP="005F622A">
      <w:pPr>
        <w:pStyle w:val="Parakstszemobjekta"/>
        <w:jc w:val="center"/>
        <w:rPr>
          <w:rFonts w:ascii="Times New Roman" w:hAnsi="Times New Roman" w:cs="Times New Roman"/>
          <w:lang w:val="en-GB"/>
        </w:rPr>
      </w:pPr>
      <w:r w:rsidRPr="007504E6">
        <w:rPr>
          <w:lang w:val="en-GB"/>
        </w:rPr>
        <w:t>Fig</w:t>
      </w:r>
      <w:r w:rsidR="001B0C98" w:rsidRPr="007504E6">
        <w:rPr>
          <w:lang w:val="en-GB"/>
        </w:rPr>
        <w:t xml:space="preserve"> </w:t>
      </w:r>
      <w:r w:rsidR="00D64210" w:rsidRPr="007504E6">
        <w:rPr>
          <w:lang w:val="en-GB"/>
        </w:rPr>
        <w:fldChar w:fldCharType="begin"/>
      </w:r>
      <w:r w:rsidR="00D64210" w:rsidRPr="007504E6">
        <w:rPr>
          <w:lang w:val="en-GB"/>
        </w:rPr>
        <w:instrText xml:space="preserve"> SEQ Attēls \* ARABIC </w:instrText>
      </w:r>
      <w:r w:rsidR="00D64210" w:rsidRPr="007504E6">
        <w:rPr>
          <w:lang w:val="en-GB"/>
        </w:rPr>
        <w:fldChar w:fldCharType="separate"/>
      </w:r>
      <w:r w:rsidR="00D500F7">
        <w:rPr>
          <w:noProof/>
          <w:lang w:val="en-GB"/>
        </w:rPr>
        <w:t>21</w:t>
      </w:r>
      <w:r w:rsidR="00D64210" w:rsidRPr="007504E6">
        <w:rPr>
          <w:noProof/>
          <w:lang w:val="en-GB"/>
        </w:rPr>
        <w:fldChar w:fldCharType="end"/>
      </w:r>
      <w:r w:rsidR="001B0C98" w:rsidRPr="007504E6">
        <w:rPr>
          <w:lang w:val="en-GB"/>
        </w:rPr>
        <w:t xml:space="preserve">. </w:t>
      </w:r>
      <w:r w:rsidR="00602CC5" w:rsidRPr="007504E6">
        <w:rPr>
          <w:rFonts w:ascii="Times New Roman" w:hAnsi="Times New Roman" w:cs="Times New Roman"/>
          <w:lang w:val="en-GB"/>
        </w:rPr>
        <w:t>Changes in the costs of individual metal products and assessments of building materials trade experts on the average dynamics of metal product costs</w:t>
      </w:r>
      <w:r w:rsidR="00AB3583" w:rsidRPr="007504E6">
        <w:rPr>
          <w:rFonts w:ascii="Times New Roman" w:hAnsi="Times New Roman" w:cs="Times New Roman"/>
          <w:lang w:val="en-GB"/>
        </w:rPr>
        <w:t>.</w:t>
      </w:r>
    </w:p>
    <w:p w14:paraId="5BA8E4E3" w14:textId="33991F26" w:rsidR="00D318B2" w:rsidRPr="007504E6" w:rsidRDefault="00602CC5" w:rsidP="003E59AC">
      <w:pPr>
        <w:spacing w:line="276" w:lineRule="auto"/>
        <w:ind w:firstLine="0"/>
        <w:rPr>
          <w:rFonts w:ascii="Times New Roman" w:hAnsi="Times New Roman" w:cs="Times New Roman"/>
          <w:lang w:val="en-GB"/>
        </w:rPr>
      </w:pPr>
      <w:r w:rsidRPr="007504E6">
        <w:rPr>
          <w:rFonts w:ascii="Times New Roman" w:hAnsi="Times New Roman" w:cs="Times New Roman"/>
          <w:lang w:val="en-GB"/>
        </w:rPr>
        <w:t xml:space="preserve">In the timber category, available data on items such as logs, beams, </w:t>
      </w:r>
      <w:proofErr w:type="spellStart"/>
      <w:r w:rsidRPr="007504E6">
        <w:rPr>
          <w:rFonts w:ascii="Times New Roman" w:hAnsi="Times New Roman" w:cs="Times New Roman"/>
          <w:lang w:val="en-GB"/>
        </w:rPr>
        <w:t>unplaned</w:t>
      </w:r>
      <w:proofErr w:type="spellEnd"/>
      <w:r w:rsidRPr="007504E6">
        <w:rPr>
          <w:rFonts w:ascii="Times New Roman" w:hAnsi="Times New Roman" w:cs="Times New Roman"/>
          <w:lang w:val="en-GB"/>
        </w:rPr>
        <w:t xml:space="preserve"> boards, parquet, plywood, wood </w:t>
      </w:r>
      <w:proofErr w:type="spellStart"/>
      <w:r w:rsidRPr="007504E6">
        <w:rPr>
          <w:rFonts w:ascii="Times New Roman" w:hAnsi="Times New Roman" w:cs="Times New Roman"/>
          <w:lang w:val="en-GB"/>
        </w:rPr>
        <w:t>fiber</w:t>
      </w:r>
      <w:proofErr w:type="spellEnd"/>
      <w:r w:rsidRPr="007504E6">
        <w:rPr>
          <w:rFonts w:ascii="Times New Roman" w:hAnsi="Times New Roman" w:cs="Times New Roman"/>
          <w:lang w:val="en-GB"/>
        </w:rPr>
        <w:t xml:space="preserve"> and particle board were considered. Unlike metal products, no such large fluctuations in costs were observed in this category between 2015 and 2020. Changes in the costs of the considered positions can be observed in the range from -11.4% compared to the previous year to + 6.9% increase. Thus, the 30.0% increase in costs in 2021, based on the estimates of building materials trade experts, is a significant leap in the context of the current dynamics. At the same time, it is estimated that from 2022 the increase in costs could return to the current growth rate, however, there is no view that a significant reduction in costs would take place.</w:t>
      </w:r>
    </w:p>
    <w:p w14:paraId="09C2CAE3" w14:textId="3D613537" w:rsidR="00D73E1F" w:rsidRPr="007504E6" w:rsidRDefault="007B319C" w:rsidP="003E59AC">
      <w:pPr>
        <w:spacing w:line="276" w:lineRule="auto"/>
        <w:ind w:firstLine="0"/>
        <w:rPr>
          <w:rFonts w:ascii="Times New Roman" w:hAnsi="Times New Roman" w:cs="Times New Roman"/>
          <w:lang w:val="en-GB"/>
        </w:rPr>
      </w:pPr>
      <w:r w:rsidRPr="007504E6">
        <w:rPr>
          <w:noProof/>
          <w:lang w:val="en-GB"/>
        </w:rPr>
        <w:drawing>
          <wp:inline distT="0" distB="0" distL="0" distR="0" wp14:anchorId="55434171" wp14:editId="1BA7A894">
            <wp:extent cx="5732145" cy="4602480"/>
            <wp:effectExtent l="0" t="0" r="1905" b="7620"/>
            <wp:docPr id="241" name="Chart 241">
              <a:extLst xmlns:a="http://schemas.openxmlformats.org/drawingml/2006/main">
                <a:ext uri="{FF2B5EF4-FFF2-40B4-BE49-F238E27FC236}">
                  <a16:creationId xmlns:a16="http://schemas.microsoft.com/office/drawing/2014/main" id="{7DC8E440-1686-41E7-BF91-F8EF442284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1A64762" w14:textId="25D2963F" w:rsidR="00FD62F5" w:rsidRPr="007504E6" w:rsidRDefault="00602CC5" w:rsidP="005F622A">
      <w:pPr>
        <w:pStyle w:val="Parakstszemobjekta"/>
        <w:jc w:val="center"/>
        <w:rPr>
          <w:rFonts w:ascii="Times New Roman" w:hAnsi="Times New Roman" w:cs="Times New Roman"/>
          <w:lang w:val="en-GB"/>
        </w:rPr>
      </w:pPr>
      <w:r w:rsidRPr="007504E6">
        <w:rPr>
          <w:lang w:val="en-GB"/>
        </w:rPr>
        <w:t>Fig</w:t>
      </w:r>
      <w:r w:rsidR="001B0C98" w:rsidRPr="007504E6">
        <w:rPr>
          <w:lang w:val="en-GB"/>
        </w:rPr>
        <w:t xml:space="preserve"> </w:t>
      </w:r>
      <w:r w:rsidR="00D64210" w:rsidRPr="007504E6">
        <w:rPr>
          <w:lang w:val="en-GB"/>
        </w:rPr>
        <w:fldChar w:fldCharType="begin"/>
      </w:r>
      <w:r w:rsidR="00D64210" w:rsidRPr="007504E6">
        <w:rPr>
          <w:lang w:val="en-GB"/>
        </w:rPr>
        <w:instrText xml:space="preserve"> SEQ Attēls \* ARABIC </w:instrText>
      </w:r>
      <w:r w:rsidR="00D64210" w:rsidRPr="007504E6">
        <w:rPr>
          <w:lang w:val="en-GB"/>
        </w:rPr>
        <w:fldChar w:fldCharType="separate"/>
      </w:r>
      <w:r w:rsidR="00D500F7">
        <w:rPr>
          <w:noProof/>
          <w:lang w:val="en-GB"/>
        </w:rPr>
        <w:t>22</w:t>
      </w:r>
      <w:r w:rsidR="00D64210" w:rsidRPr="007504E6">
        <w:rPr>
          <w:noProof/>
          <w:lang w:val="en-GB"/>
        </w:rPr>
        <w:fldChar w:fldCharType="end"/>
      </w:r>
      <w:r w:rsidR="001B0C98" w:rsidRPr="007504E6">
        <w:rPr>
          <w:lang w:val="en-GB"/>
        </w:rPr>
        <w:t xml:space="preserve">. </w:t>
      </w:r>
      <w:r w:rsidR="00F8058E" w:rsidRPr="007504E6">
        <w:rPr>
          <w:rFonts w:ascii="Times New Roman" w:hAnsi="Times New Roman" w:cs="Times New Roman"/>
          <w:lang w:val="en-GB"/>
        </w:rPr>
        <w:t>Changes in timber prices from 2015 and assessment of the average trend in 2020-2025</w:t>
      </w:r>
      <w:r w:rsidR="0063488C" w:rsidRPr="007504E6">
        <w:rPr>
          <w:rFonts w:ascii="Times New Roman" w:hAnsi="Times New Roman" w:cs="Times New Roman"/>
          <w:lang w:val="en-GB"/>
        </w:rPr>
        <w:t>.</w:t>
      </w:r>
    </w:p>
    <w:p w14:paraId="04B2F6CD" w14:textId="77777777" w:rsidR="000D5070" w:rsidRPr="007504E6" w:rsidRDefault="000D5070" w:rsidP="000D5070">
      <w:pPr>
        <w:spacing w:line="276" w:lineRule="auto"/>
        <w:ind w:firstLine="0"/>
        <w:rPr>
          <w:rFonts w:ascii="Times New Roman" w:hAnsi="Times New Roman" w:cs="Times New Roman"/>
          <w:lang w:val="en-GB"/>
        </w:rPr>
      </w:pPr>
      <w:r w:rsidRPr="007504E6">
        <w:rPr>
          <w:rFonts w:ascii="Times New Roman" w:hAnsi="Times New Roman" w:cs="Times New Roman"/>
          <w:lang w:val="en-GB"/>
        </w:rPr>
        <w:t>One of the main issues that is relevant in the context of 2021 is the uncertainty about the adjustment of the price of timber and metal products. In essence, the jump in prices in these two categories was caused by the imbalance between supply and demand, when there has been a sharp increase in demand with stable or reduced supply.</w:t>
      </w:r>
    </w:p>
    <w:p w14:paraId="60B2D27D" w14:textId="77777777" w:rsidR="000D5070" w:rsidRPr="007504E6" w:rsidRDefault="000D5070" w:rsidP="000D5070">
      <w:pPr>
        <w:spacing w:line="276" w:lineRule="auto"/>
        <w:ind w:firstLine="0"/>
        <w:rPr>
          <w:rFonts w:ascii="Times New Roman" w:hAnsi="Times New Roman" w:cs="Times New Roman"/>
          <w:lang w:val="en-GB"/>
        </w:rPr>
      </w:pPr>
    </w:p>
    <w:p w14:paraId="4741F235" w14:textId="77777777" w:rsidR="000D5070" w:rsidRPr="007504E6" w:rsidRDefault="000D5070" w:rsidP="000D5070">
      <w:pPr>
        <w:spacing w:line="276" w:lineRule="auto"/>
        <w:ind w:firstLine="0"/>
        <w:rPr>
          <w:rFonts w:ascii="Times New Roman" w:hAnsi="Times New Roman" w:cs="Times New Roman"/>
          <w:lang w:val="en-GB"/>
        </w:rPr>
      </w:pPr>
      <w:r w:rsidRPr="007504E6">
        <w:rPr>
          <w:rFonts w:ascii="Times New Roman" w:hAnsi="Times New Roman" w:cs="Times New Roman"/>
          <w:lang w:val="en-GB"/>
        </w:rPr>
        <w:t>On the demand side, the reasons for its growth are explained by several trends in various world markets, including:</w:t>
      </w:r>
    </w:p>
    <w:p w14:paraId="47F5AB34" w14:textId="3E84B161" w:rsidR="000D5070" w:rsidRPr="007504E6" w:rsidRDefault="000D5070" w:rsidP="00FD3EBF">
      <w:pPr>
        <w:pStyle w:val="Sarakstarindkopa"/>
        <w:numPr>
          <w:ilvl w:val="0"/>
          <w:numId w:val="28"/>
        </w:numPr>
        <w:spacing w:line="276" w:lineRule="auto"/>
        <w:rPr>
          <w:rFonts w:ascii="Times New Roman" w:hAnsi="Times New Roman" w:cs="Times New Roman"/>
          <w:lang w:val="en-GB"/>
        </w:rPr>
      </w:pPr>
      <w:r w:rsidRPr="007504E6">
        <w:rPr>
          <w:rFonts w:ascii="Times New Roman" w:hAnsi="Times New Roman" w:cs="Times New Roman"/>
          <w:lang w:val="en-GB"/>
        </w:rPr>
        <w:t>growth in demand as economies recover in major world markets (US, China),</w:t>
      </w:r>
    </w:p>
    <w:p w14:paraId="36B5BC76" w14:textId="4A919097" w:rsidR="000D5070" w:rsidRPr="007504E6" w:rsidRDefault="000D5070" w:rsidP="00FD3EBF">
      <w:pPr>
        <w:pStyle w:val="Sarakstarindkopa"/>
        <w:numPr>
          <w:ilvl w:val="0"/>
          <w:numId w:val="28"/>
        </w:numPr>
        <w:spacing w:line="276" w:lineRule="auto"/>
        <w:rPr>
          <w:rFonts w:ascii="Times New Roman" w:hAnsi="Times New Roman" w:cs="Times New Roman"/>
          <w:lang w:val="en-GB"/>
        </w:rPr>
      </w:pPr>
      <w:r w:rsidRPr="007504E6">
        <w:rPr>
          <w:rFonts w:ascii="Times New Roman" w:hAnsi="Times New Roman" w:cs="Times New Roman"/>
          <w:lang w:val="en-GB"/>
        </w:rPr>
        <w:t>the increasing pace of construction caused by public support programs aimed at economic recovery following the COVID-19 pandemic and the economic downturn or stagnation caused by epidemiological measures;</w:t>
      </w:r>
    </w:p>
    <w:p w14:paraId="750BDB26" w14:textId="7C43BE0C" w:rsidR="000D5070" w:rsidRPr="007504E6" w:rsidRDefault="000D5070" w:rsidP="00FD3EBF">
      <w:pPr>
        <w:pStyle w:val="Sarakstarindkopa"/>
        <w:numPr>
          <w:ilvl w:val="0"/>
          <w:numId w:val="28"/>
        </w:numPr>
        <w:spacing w:line="276" w:lineRule="auto"/>
        <w:rPr>
          <w:rFonts w:ascii="Times New Roman" w:hAnsi="Times New Roman" w:cs="Times New Roman"/>
          <w:lang w:val="en-GB"/>
        </w:rPr>
      </w:pPr>
      <w:r w:rsidRPr="007504E6">
        <w:rPr>
          <w:rFonts w:ascii="Times New Roman" w:hAnsi="Times New Roman" w:cs="Times New Roman"/>
          <w:lang w:val="en-GB"/>
        </w:rPr>
        <w:t>more intensive use of timber in construction,</w:t>
      </w:r>
    </w:p>
    <w:p w14:paraId="62E32A4D" w14:textId="77777777" w:rsidR="000D5070" w:rsidRPr="007504E6" w:rsidRDefault="000D5070" w:rsidP="000D5070">
      <w:pPr>
        <w:spacing w:line="276" w:lineRule="auto"/>
        <w:ind w:firstLine="0"/>
        <w:rPr>
          <w:rFonts w:ascii="Times New Roman" w:hAnsi="Times New Roman" w:cs="Times New Roman"/>
          <w:lang w:val="en-GB"/>
        </w:rPr>
      </w:pPr>
    </w:p>
    <w:p w14:paraId="3FDAC296" w14:textId="77777777" w:rsidR="000D5070" w:rsidRPr="007504E6" w:rsidRDefault="000D5070" w:rsidP="000D5070">
      <w:pPr>
        <w:spacing w:line="276" w:lineRule="auto"/>
        <w:ind w:firstLine="0"/>
        <w:rPr>
          <w:rFonts w:ascii="Times New Roman" w:hAnsi="Times New Roman" w:cs="Times New Roman"/>
          <w:lang w:val="en-GB"/>
        </w:rPr>
      </w:pPr>
      <w:r w:rsidRPr="007504E6">
        <w:rPr>
          <w:rFonts w:ascii="Times New Roman" w:hAnsi="Times New Roman" w:cs="Times New Roman"/>
          <w:lang w:val="en-GB"/>
        </w:rPr>
        <w:t>On the supply side, the main causes of stagnation are related to such causes as:</w:t>
      </w:r>
    </w:p>
    <w:p w14:paraId="4667BC93" w14:textId="566E282F" w:rsidR="000D5070" w:rsidRPr="007504E6" w:rsidRDefault="000D5070" w:rsidP="00D762E1">
      <w:pPr>
        <w:pStyle w:val="Sarakstarindkopa"/>
        <w:numPr>
          <w:ilvl w:val="0"/>
          <w:numId w:val="29"/>
        </w:numPr>
        <w:spacing w:line="276" w:lineRule="auto"/>
        <w:rPr>
          <w:rFonts w:ascii="Times New Roman" w:hAnsi="Times New Roman" w:cs="Times New Roman"/>
          <w:lang w:val="en-GB"/>
        </w:rPr>
      </w:pPr>
      <w:r w:rsidRPr="007504E6">
        <w:rPr>
          <w:rFonts w:ascii="Times New Roman" w:hAnsi="Times New Roman" w:cs="Times New Roman"/>
          <w:lang w:val="en-GB"/>
        </w:rPr>
        <w:t>failure to restore production capacity to pre-pandemic levels due to technological reasons, such as</w:t>
      </w:r>
      <w:r w:rsidR="00D762E1" w:rsidRPr="007504E6">
        <w:rPr>
          <w:rFonts w:ascii="Times New Roman" w:hAnsi="Times New Roman" w:cs="Times New Roman"/>
          <w:lang w:val="en-GB"/>
        </w:rPr>
        <w:t xml:space="preserve"> </w:t>
      </w:r>
      <w:r w:rsidRPr="007504E6">
        <w:rPr>
          <w:rFonts w:ascii="Times New Roman" w:hAnsi="Times New Roman" w:cs="Times New Roman"/>
          <w:lang w:val="en-GB"/>
        </w:rPr>
        <w:t>plant closures at the beginning of the pandemic;</w:t>
      </w:r>
    </w:p>
    <w:p w14:paraId="14BA2334" w14:textId="719CACC2" w:rsidR="000D5070" w:rsidRPr="007504E6" w:rsidRDefault="000D5070" w:rsidP="00D762E1">
      <w:pPr>
        <w:pStyle w:val="Sarakstarindkopa"/>
        <w:numPr>
          <w:ilvl w:val="0"/>
          <w:numId w:val="29"/>
        </w:numPr>
        <w:spacing w:line="276" w:lineRule="auto"/>
        <w:rPr>
          <w:rFonts w:ascii="Times New Roman" w:hAnsi="Times New Roman" w:cs="Times New Roman"/>
          <w:lang w:val="en-GB"/>
        </w:rPr>
      </w:pPr>
      <w:r w:rsidRPr="007504E6">
        <w:rPr>
          <w:rFonts w:ascii="Times New Roman" w:hAnsi="Times New Roman" w:cs="Times New Roman"/>
          <w:lang w:val="en-GB"/>
        </w:rPr>
        <w:t xml:space="preserve">delays in logistics routes due to the growing demand for transport services due to the rapid development of e-commerce in an isolated population and the inability of logistics hubs to operate at full capacity due to the impact of epidemiological measures on </w:t>
      </w:r>
      <w:proofErr w:type="spellStart"/>
      <w:r w:rsidRPr="007504E6">
        <w:rPr>
          <w:rFonts w:ascii="Times New Roman" w:hAnsi="Times New Roman" w:cs="Times New Roman"/>
          <w:lang w:val="en-GB"/>
        </w:rPr>
        <w:t>labor</w:t>
      </w:r>
      <w:proofErr w:type="spellEnd"/>
      <w:r w:rsidRPr="007504E6">
        <w:rPr>
          <w:rFonts w:ascii="Times New Roman" w:hAnsi="Times New Roman" w:cs="Times New Roman"/>
          <w:lang w:val="en-GB"/>
        </w:rPr>
        <w:t xml:space="preserve"> availability,</w:t>
      </w:r>
    </w:p>
    <w:p w14:paraId="43E54686" w14:textId="685D1A83" w:rsidR="000D5070" w:rsidRPr="007504E6" w:rsidRDefault="000D5070" w:rsidP="00D762E1">
      <w:pPr>
        <w:pStyle w:val="Sarakstarindkopa"/>
        <w:numPr>
          <w:ilvl w:val="0"/>
          <w:numId w:val="29"/>
        </w:numPr>
        <w:spacing w:line="276" w:lineRule="auto"/>
        <w:rPr>
          <w:rFonts w:ascii="Times New Roman" w:hAnsi="Times New Roman" w:cs="Times New Roman"/>
          <w:lang w:val="en-GB"/>
        </w:rPr>
      </w:pPr>
      <w:r w:rsidRPr="007504E6">
        <w:rPr>
          <w:rFonts w:ascii="Times New Roman" w:hAnsi="Times New Roman" w:cs="Times New Roman"/>
          <w:lang w:val="en-GB"/>
        </w:rPr>
        <w:t>natural cataclysms, such as forest fires, storms, floods, forest disruptions,</w:t>
      </w:r>
    </w:p>
    <w:p w14:paraId="13370C7C" w14:textId="6E4437A1" w:rsidR="00AB3583" w:rsidRPr="007504E6" w:rsidRDefault="000D5070" w:rsidP="00D762E1">
      <w:pPr>
        <w:pStyle w:val="Sarakstarindkopa"/>
        <w:numPr>
          <w:ilvl w:val="0"/>
          <w:numId w:val="29"/>
        </w:numPr>
        <w:spacing w:line="276" w:lineRule="auto"/>
        <w:rPr>
          <w:rFonts w:ascii="Times New Roman" w:hAnsi="Times New Roman" w:cs="Times New Roman"/>
          <w:lang w:val="en-GB"/>
        </w:rPr>
      </w:pPr>
      <w:r w:rsidRPr="007504E6">
        <w:rPr>
          <w:rFonts w:ascii="Times New Roman" w:hAnsi="Times New Roman" w:cs="Times New Roman"/>
          <w:lang w:val="en-GB"/>
        </w:rPr>
        <w:t>Invasion of bark beetles in European forests, resulting in a large accumulation of dead and dying wood</w:t>
      </w:r>
      <w:r w:rsidR="003331AF" w:rsidRPr="007504E6">
        <w:rPr>
          <w:rFonts w:ascii="Times New Roman" w:hAnsi="Times New Roman" w:cs="Times New Roman"/>
          <w:lang w:val="en-GB"/>
        </w:rPr>
        <w:t xml:space="preserve">. </w:t>
      </w:r>
    </w:p>
    <w:p w14:paraId="4A171E63" w14:textId="3B737567" w:rsidR="005F3FFE" w:rsidRPr="007504E6" w:rsidRDefault="005F3FFE" w:rsidP="005F3FFE">
      <w:pPr>
        <w:spacing w:line="276" w:lineRule="auto"/>
        <w:rPr>
          <w:rFonts w:ascii="Times New Roman" w:hAnsi="Times New Roman" w:cs="Times New Roman"/>
          <w:lang w:val="en-GB"/>
        </w:rPr>
      </w:pPr>
    </w:p>
    <w:p w14:paraId="576BD20C" w14:textId="52076498" w:rsidR="005F3FFE" w:rsidRPr="007504E6" w:rsidRDefault="005F3FFE" w:rsidP="005F3FFE">
      <w:pPr>
        <w:spacing w:line="276" w:lineRule="auto"/>
        <w:rPr>
          <w:rFonts w:ascii="Times New Roman" w:hAnsi="Times New Roman" w:cs="Times New Roman"/>
          <w:lang w:val="en-GB"/>
        </w:rPr>
      </w:pPr>
      <w:r w:rsidRPr="007504E6">
        <w:rPr>
          <w:rFonts w:ascii="Times New Roman" w:hAnsi="Times New Roman" w:cs="Times New Roman"/>
          <w:noProof/>
          <w:lang w:val="en-GB"/>
        </w:rPr>
        <w:drawing>
          <wp:inline distT="0" distB="0" distL="0" distR="0" wp14:anchorId="0BA21954" wp14:editId="64B253FA">
            <wp:extent cx="4419600" cy="2508700"/>
            <wp:effectExtent l="0" t="0" r="0" b="635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47"/>
                    <a:stretch>
                      <a:fillRect/>
                    </a:stretch>
                  </pic:blipFill>
                  <pic:spPr>
                    <a:xfrm>
                      <a:off x="0" y="0"/>
                      <a:ext cx="4429326" cy="2514221"/>
                    </a:xfrm>
                    <a:prstGeom prst="rect">
                      <a:avLst/>
                    </a:prstGeom>
                  </pic:spPr>
                </pic:pic>
              </a:graphicData>
            </a:graphic>
          </wp:inline>
        </w:drawing>
      </w:r>
    </w:p>
    <w:p w14:paraId="3D70651E" w14:textId="0E34DEB5" w:rsidR="00F400CC" w:rsidRPr="007504E6" w:rsidRDefault="00F400CC" w:rsidP="00F400CC">
      <w:pPr>
        <w:pStyle w:val="Parakstszemobjekta"/>
        <w:jc w:val="center"/>
        <w:rPr>
          <w:rFonts w:ascii="Times New Roman" w:hAnsi="Times New Roman" w:cs="Times New Roman"/>
          <w:lang w:val="en-GB"/>
        </w:rPr>
      </w:pPr>
      <w:r w:rsidRPr="007504E6">
        <w:rPr>
          <w:lang w:val="en-GB"/>
        </w:rPr>
        <w:t xml:space="preserve">Fig </w:t>
      </w:r>
      <w:r w:rsidRPr="007504E6">
        <w:rPr>
          <w:lang w:val="en-GB"/>
        </w:rPr>
        <w:fldChar w:fldCharType="begin"/>
      </w:r>
      <w:r w:rsidRPr="007504E6">
        <w:rPr>
          <w:lang w:val="en-GB"/>
        </w:rPr>
        <w:instrText xml:space="preserve"> SEQ Attēls \* ARABIC </w:instrText>
      </w:r>
      <w:r w:rsidRPr="007504E6">
        <w:rPr>
          <w:lang w:val="en-GB"/>
        </w:rPr>
        <w:fldChar w:fldCharType="separate"/>
      </w:r>
      <w:r w:rsidR="00D500F7">
        <w:rPr>
          <w:noProof/>
          <w:lang w:val="en-GB"/>
        </w:rPr>
        <w:t>23</w:t>
      </w:r>
      <w:r w:rsidRPr="007504E6">
        <w:rPr>
          <w:noProof/>
          <w:lang w:val="en-GB"/>
        </w:rPr>
        <w:fldChar w:fldCharType="end"/>
      </w:r>
      <w:r w:rsidRPr="007504E6">
        <w:rPr>
          <w:lang w:val="en-GB"/>
        </w:rPr>
        <w:t xml:space="preserve">. </w:t>
      </w:r>
      <w:r w:rsidR="00046AB4" w:rsidRPr="007504E6">
        <w:rPr>
          <w:rFonts w:ascii="Times New Roman" w:hAnsi="Times New Roman" w:cs="Times New Roman"/>
          <w:lang w:val="en-GB"/>
        </w:rPr>
        <w:t xml:space="preserve">Timber price changes from September 2020 to July 2021 on the US Timber Exchange (Chicago). </w:t>
      </w:r>
      <w:r w:rsidR="00046AB4" w:rsidRPr="007504E6">
        <w:rPr>
          <w:rFonts w:ascii="Times New Roman" w:hAnsi="Times New Roman" w:cs="Times New Roman"/>
          <w:lang w:val="en-GB"/>
        </w:rPr>
        <w:br/>
        <w:t>Source: Trading Economics</w:t>
      </w:r>
      <w:r w:rsidRPr="007504E6">
        <w:rPr>
          <w:rFonts w:ascii="Times New Roman" w:hAnsi="Times New Roman" w:cs="Times New Roman"/>
          <w:lang w:val="en-GB"/>
        </w:rPr>
        <w:t>.</w:t>
      </w:r>
    </w:p>
    <w:p w14:paraId="3AE5A0CA" w14:textId="60EC4FC1" w:rsidR="001F0AAA" w:rsidRPr="007504E6" w:rsidRDefault="001F0AAA" w:rsidP="001F0AAA">
      <w:pPr>
        <w:spacing w:line="276" w:lineRule="auto"/>
        <w:ind w:firstLine="0"/>
        <w:rPr>
          <w:rFonts w:ascii="Times New Roman" w:hAnsi="Times New Roman" w:cs="Times New Roman"/>
          <w:lang w:val="en-GB"/>
        </w:rPr>
      </w:pPr>
      <w:r w:rsidRPr="007504E6">
        <w:rPr>
          <w:rFonts w:ascii="Times New Roman" w:hAnsi="Times New Roman" w:cs="Times New Roman"/>
          <w:lang w:val="en-GB"/>
        </w:rPr>
        <w:t xml:space="preserve">According to experts, building material prices could stop rising sharply after peaking, but </w:t>
      </w:r>
      <w:r w:rsidR="007504E6" w:rsidRPr="007504E6">
        <w:rPr>
          <w:rFonts w:ascii="Times New Roman" w:hAnsi="Times New Roman" w:cs="Times New Roman"/>
          <w:lang w:val="en-GB"/>
        </w:rPr>
        <w:t xml:space="preserve">the growth rate </w:t>
      </w:r>
      <w:r w:rsidRPr="007504E6">
        <w:rPr>
          <w:rFonts w:ascii="Times New Roman" w:hAnsi="Times New Roman" w:cs="Times New Roman"/>
          <w:lang w:val="en-GB"/>
        </w:rPr>
        <w:t>could remain modest. The assessment of expert forecasts has not identified a downward trend in construction material prices. The authors' analysis indicates that in the more competitive positions of timber and metal products, a price correction could be expected back to the 2019 price level plus an average price increase of two to three years. This forecast is based on the assumption that as supply increases and demand for economic theory decreases, prices should decrease. If this trend is not observed, it may indicate unfair practices and price fixing.</w:t>
      </w:r>
    </w:p>
    <w:p w14:paraId="16562A05" w14:textId="77777777" w:rsidR="001F0AAA" w:rsidRPr="007504E6" w:rsidRDefault="001F0AAA" w:rsidP="001F0AAA">
      <w:pPr>
        <w:spacing w:line="276" w:lineRule="auto"/>
        <w:rPr>
          <w:rFonts w:ascii="Times New Roman" w:hAnsi="Times New Roman" w:cs="Times New Roman"/>
          <w:lang w:val="en-GB"/>
        </w:rPr>
      </w:pPr>
    </w:p>
    <w:p w14:paraId="00AB0F23" w14:textId="4EB90C49" w:rsidR="00F400CC" w:rsidRPr="007504E6" w:rsidRDefault="001F0AAA" w:rsidP="001F0AAA">
      <w:pPr>
        <w:spacing w:line="276" w:lineRule="auto"/>
        <w:ind w:firstLine="0"/>
        <w:rPr>
          <w:rFonts w:ascii="Times New Roman" w:hAnsi="Times New Roman" w:cs="Times New Roman"/>
          <w:lang w:val="en-GB"/>
        </w:rPr>
      </w:pPr>
      <w:r w:rsidRPr="007504E6">
        <w:rPr>
          <w:rFonts w:ascii="Times New Roman" w:hAnsi="Times New Roman" w:cs="Times New Roman"/>
          <w:lang w:val="en-GB"/>
        </w:rPr>
        <w:t xml:space="preserve">In some markets, a return to </w:t>
      </w:r>
      <w:r w:rsidR="00E44EA5">
        <w:rPr>
          <w:rFonts w:ascii="Times New Roman" w:hAnsi="Times New Roman" w:cs="Times New Roman"/>
          <w:lang w:val="en-GB"/>
        </w:rPr>
        <w:t xml:space="preserve">the </w:t>
      </w:r>
      <w:r w:rsidRPr="007504E6">
        <w:rPr>
          <w:rFonts w:ascii="Times New Roman" w:hAnsi="Times New Roman" w:cs="Times New Roman"/>
          <w:lang w:val="en-GB"/>
        </w:rPr>
        <w:t xml:space="preserve">levels </w:t>
      </w:r>
      <w:r w:rsidR="00E44EA5">
        <w:rPr>
          <w:rFonts w:ascii="Times New Roman" w:hAnsi="Times New Roman" w:cs="Times New Roman"/>
          <w:lang w:val="en-GB"/>
        </w:rPr>
        <w:t xml:space="preserve">before the sharp rise </w:t>
      </w:r>
      <w:r w:rsidRPr="007504E6">
        <w:rPr>
          <w:rFonts w:ascii="Times New Roman" w:hAnsi="Times New Roman" w:cs="Times New Roman"/>
          <w:lang w:val="en-GB"/>
        </w:rPr>
        <w:t xml:space="preserve">was already observed in the final phase of the study. For example, on the US timber exchanges, the timber price index rose several times from 500 </w:t>
      </w:r>
      <w:r w:rsidR="00E44EA5">
        <w:rPr>
          <w:rFonts w:ascii="Times New Roman" w:hAnsi="Times New Roman" w:cs="Times New Roman"/>
          <w:lang w:val="en-GB"/>
        </w:rPr>
        <w:t>points</w:t>
      </w:r>
      <w:r w:rsidRPr="007504E6">
        <w:rPr>
          <w:rFonts w:ascii="Times New Roman" w:hAnsi="Times New Roman" w:cs="Times New Roman"/>
          <w:lang w:val="en-GB"/>
        </w:rPr>
        <w:t xml:space="preserve"> in November 2020 to over 1600 </w:t>
      </w:r>
      <w:r w:rsidR="00E44EA5">
        <w:rPr>
          <w:rFonts w:ascii="Times New Roman" w:hAnsi="Times New Roman" w:cs="Times New Roman"/>
          <w:lang w:val="en-GB"/>
        </w:rPr>
        <w:t>points</w:t>
      </w:r>
      <w:r w:rsidRPr="007504E6">
        <w:rPr>
          <w:rFonts w:ascii="Times New Roman" w:hAnsi="Times New Roman" w:cs="Times New Roman"/>
          <w:lang w:val="en-GB"/>
        </w:rPr>
        <w:t xml:space="preserve"> in May 2021. However, already in July, the price level returned to the previous level of around 500. This situation was explained by the decline in market demand due to the jump in </w:t>
      </w:r>
      <w:r w:rsidR="00E44EA5" w:rsidRPr="007504E6">
        <w:rPr>
          <w:rFonts w:ascii="Times New Roman" w:hAnsi="Times New Roman" w:cs="Times New Roman"/>
          <w:lang w:val="en-GB"/>
        </w:rPr>
        <w:t>prices when</w:t>
      </w:r>
      <w:r w:rsidRPr="007504E6">
        <w:rPr>
          <w:rFonts w:ascii="Times New Roman" w:hAnsi="Times New Roman" w:cs="Times New Roman"/>
          <w:lang w:val="en-GB"/>
        </w:rPr>
        <w:t xml:space="preserve"> construction companies refuse</w:t>
      </w:r>
      <w:r w:rsidR="00E44EA5">
        <w:rPr>
          <w:rFonts w:ascii="Times New Roman" w:hAnsi="Times New Roman" w:cs="Times New Roman"/>
          <w:lang w:val="en-GB"/>
        </w:rPr>
        <w:t>d</w:t>
      </w:r>
      <w:r w:rsidRPr="007504E6">
        <w:rPr>
          <w:rFonts w:ascii="Times New Roman" w:hAnsi="Times New Roman" w:cs="Times New Roman"/>
          <w:lang w:val="en-GB"/>
        </w:rPr>
        <w:t xml:space="preserve"> to buy construction materials at such a significant increase in prices. This leads to a market correction and reduced demand to existing supply leads to lower prices, incl. prices at the previous level.</w:t>
      </w:r>
    </w:p>
    <w:p w14:paraId="39EAA609" w14:textId="79F0774A" w:rsidR="001E35BF" w:rsidRPr="007504E6" w:rsidRDefault="001E35BF" w:rsidP="00F94464">
      <w:pPr>
        <w:ind w:firstLine="0"/>
        <w:rPr>
          <w:rFonts w:ascii="Times New Roman" w:hAnsi="Times New Roman" w:cs="Times New Roman"/>
          <w:lang w:val="en-GB"/>
        </w:rPr>
      </w:pPr>
    </w:p>
    <w:p w14:paraId="191D51CA" w14:textId="71FF1782" w:rsidR="001E35BF" w:rsidRPr="007504E6" w:rsidRDefault="00F8058E" w:rsidP="00D64210">
      <w:pPr>
        <w:pStyle w:val="Virsraksts2"/>
        <w:numPr>
          <w:ilvl w:val="1"/>
          <w:numId w:val="5"/>
        </w:numPr>
        <w:rPr>
          <w:rFonts w:ascii="Times New Roman" w:hAnsi="Times New Roman" w:cs="Times New Roman"/>
          <w:b/>
          <w:bCs/>
          <w:color w:val="262626" w:themeColor="text1" w:themeTint="D9"/>
          <w:lang w:val="en-GB"/>
        </w:rPr>
      </w:pPr>
      <w:bookmarkStart w:id="14" w:name="_Toc77714120"/>
      <w:r w:rsidRPr="007504E6">
        <w:rPr>
          <w:rFonts w:ascii="Times New Roman" w:hAnsi="Times New Roman" w:cs="Times New Roman"/>
          <w:b/>
          <w:bCs/>
          <w:color w:val="262626" w:themeColor="text1" w:themeTint="D9"/>
          <w:lang w:val="en-GB"/>
        </w:rPr>
        <w:t>Impact of measures to combat the shadow economy on the construction industry</w:t>
      </w:r>
      <w:bookmarkEnd w:id="14"/>
    </w:p>
    <w:p w14:paraId="7B1F669E" w14:textId="77777777" w:rsidR="00BB3CB6" w:rsidRPr="007504E6" w:rsidRDefault="00BB3CB6" w:rsidP="00BB3CB6">
      <w:pPr>
        <w:spacing w:line="276" w:lineRule="auto"/>
        <w:ind w:firstLine="0"/>
        <w:rPr>
          <w:rFonts w:ascii="Times New Roman" w:hAnsi="Times New Roman" w:cs="Times New Roman"/>
          <w:lang w:val="en-GB"/>
        </w:rPr>
      </w:pPr>
    </w:p>
    <w:p w14:paraId="39AE857F" w14:textId="77777777" w:rsidR="00F8058E" w:rsidRPr="007504E6" w:rsidRDefault="00F8058E" w:rsidP="00F8058E">
      <w:pPr>
        <w:spacing w:line="276" w:lineRule="auto"/>
        <w:ind w:firstLine="0"/>
        <w:rPr>
          <w:rFonts w:ascii="Times New Roman" w:hAnsi="Times New Roman" w:cs="Times New Roman"/>
          <w:lang w:val="en-GB"/>
        </w:rPr>
      </w:pPr>
      <w:r w:rsidRPr="007504E6">
        <w:rPr>
          <w:rFonts w:ascii="Times New Roman" w:hAnsi="Times New Roman" w:cs="Times New Roman"/>
          <w:lang w:val="en-GB"/>
        </w:rPr>
        <w:t xml:space="preserve">The study experts were asked to assess the impact of the measures planned and implemented by public administration institutions to combat the shadow economy on the </w:t>
      </w:r>
      <w:proofErr w:type="spellStart"/>
      <w:r w:rsidRPr="007504E6">
        <w:rPr>
          <w:rFonts w:ascii="Times New Roman" w:hAnsi="Times New Roman" w:cs="Times New Roman"/>
          <w:lang w:val="en-GB"/>
        </w:rPr>
        <w:t>labor</w:t>
      </w:r>
      <w:proofErr w:type="spellEnd"/>
      <w:r w:rsidRPr="007504E6">
        <w:rPr>
          <w:rFonts w:ascii="Times New Roman" w:hAnsi="Times New Roman" w:cs="Times New Roman"/>
          <w:lang w:val="en-GB"/>
        </w:rPr>
        <w:t xml:space="preserve"> and construction material costs of the construction sector. </w:t>
      </w:r>
      <w:proofErr w:type="spellStart"/>
      <w:r w:rsidRPr="007504E6">
        <w:rPr>
          <w:rFonts w:ascii="Times New Roman" w:hAnsi="Times New Roman" w:cs="Times New Roman"/>
          <w:lang w:val="en-GB"/>
        </w:rPr>
        <w:t>Analyzing</w:t>
      </w:r>
      <w:proofErr w:type="spellEnd"/>
      <w:r w:rsidRPr="007504E6">
        <w:rPr>
          <w:rFonts w:ascii="Times New Roman" w:hAnsi="Times New Roman" w:cs="Times New Roman"/>
          <w:lang w:val="en-GB"/>
        </w:rPr>
        <w:t xml:space="preserve"> the obtained answers of both general and sub-sectoral experts, the average expert evaluation was calculated. The impact of measures to combat the shadow economy on construction costs was assessed on a scale from -10 to +10 points, where a higher score means that the factor of combating the shadow economy significantly increases or decreases the cost of </w:t>
      </w:r>
      <w:proofErr w:type="spellStart"/>
      <w:r w:rsidRPr="007504E6">
        <w:rPr>
          <w:rFonts w:ascii="Times New Roman" w:hAnsi="Times New Roman" w:cs="Times New Roman"/>
          <w:lang w:val="en-GB"/>
        </w:rPr>
        <w:t>labor</w:t>
      </w:r>
      <w:proofErr w:type="spellEnd"/>
      <w:r w:rsidRPr="007504E6">
        <w:rPr>
          <w:rFonts w:ascii="Times New Roman" w:hAnsi="Times New Roman" w:cs="Times New Roman"/>
          <w:lang w:val="en-GB"/>
        </w:rPr>
        <w:t xml:space="preserve"> or building materials in construction.</w:t>
      </w:r>
    </w:p>
    <w:p w14:paraId="774426AF" w14:textId="77777777" w:rsidR="00F8058E" w:rsidRPr="007504E6" w:rsidRDefault="00F8058E" w:rsidP="00F8058E">
      <w:pPr>
        <w:spacing w:line="276" w:lineRule="auto"/>
        <w:ind w:firstLine="0"/>
        <w:rPr>
          <w:rFonts w:ascii="Times New Roman" w:hAnsi="Times New Roman" w:cs="Times New Roman"/>
          <w:lang w:val="en-GB"/>
        </w:rPr>
      </w:pPr>
    </w:p>
    <w:p w14:paraId="61E298A5" w14:textId="196D4F3F" w:rsidR="00FD6621" w:rsidRPr="007504E6" w:rsidRDefault="00F8058E" w:rsidP="00F8058E">
      <w:pPr>
        <w:spacing w:line="276" w:lineRule="auto"/>
        <w:ind w:firstLine="0"/>
        <w:rPr>
          <w:rFonts w:ascii="Times New Roman" w:hAnsi="Times New Roman" w:cs="Times New Roman"/>
          <w:lang w:val="en-GB"/>
        </w:rPr>
      </w:pPr>
      <w:r w:rsidRPr="007504E6">
        <w:rPr>
          <w:rFonts w:ascii="Times New Roman" w:hAnsi="Times New Roman" w:cs="Times New Roman"/>
          <w:lang w:val="en-GB"/>
        </w:rPr>
        <w:t xml:space="preserve">Examining the obtained expert assessments, it can be concluded that, in general, experts representing the construction industry see a greater impact of measures to combat the shadow economy on </w:t>
      </w:r>
      <w:proofErr w:type="spellStart"/>
      <w:r w:rsidRPr="007504E6">
        <w:rPr>
          <w:rFonts w:ascii="Times New Roman" w:hAnsi="Times New Roman" w:cs="Times New Roman"/>
          <w:lang w:val="en-GB"/>
        </w:rPr>
        <w:t>labor</w:t>
      </w:r>
      <w:proofErr w:type="spellEnd"/>
      <w:r w:rsidRPr="007504E6">
        <w:rPr>
          <w:rFonts w:ascii="Times New Roman" w:hAnsi="Times New Roman" w:cs="Times New Roman"/>
          <w:lang w:val="en-GB"/>
        </w:rPr>
        <w:t xml:space="preserve"> costs than on the costs of construction materials. Overall, there are also moderately positive assessments, indicating that these measures are mainly cost increases rather than savings</w:t>
      </w:r>
      <w:r w:rsidR="00552D90" w:rsidRPr="007504E6">
        <w:rPr>
          <w:rFonts w:ascii="Times New Roman" w:hAnsi="Times New Roman" w:cs="Times New Roman"/>
          <w:lang w:val="en-GB"/>
        </w:rPr>
        <w:t>.</w:t>
      </w:r>
    </w:p>
    <w:p w14:paraId="51637F90" w14:textId="79A6FBBD" w:rsidR="00BB3CB6" w:rsidRPr="007504E6" w:rsidRDefault="00D65A59" w:rsidP="00BB3CB6">
      <w:pPr>
        <w:spacing w:line="276" w:lineRule="auto"/>
        <w:ind w:firstLine="0"/>
        <w:rPr>
          <w:rFonts w:ascii="Times New Roman" w:hAnsi="Times New Roman" w:cs="Times New Roman"/>
          <w:lang w:val="en-GB"/>
        </w:rPr>
      </w:pPr>
      <w:r w:rsidRPr="007504E6">
        <w:rPr>
          <w:noProof/>
          <w:lang w:val="en-GB"/>
        </w:rPr>
        <w:drawing>
          <wp:inline distT="0" distB="0" distL="0" distR="0" wp14:anchorId="1614750D" wp14:editId="7E450DFB">
            <wp:extent cx="5707380" cy="2545715"/>
            <wp:effectExtent l="0" t="0" r="7620" b="6985"/>
            <wp:docPr id="242" name="Chart 242">
              <a:extLst xmlns:a="http://schemas.openxmlformats.org/drawingml/2006/main">
                <a:ext uri="{FF2B5EF4-FFF2-40B4-BE49-F238E27FC236}">
                  <a16:creationId xmlns:a16="http://schemas.microsoft.com/office/drawing/2014/main" id="{7329CEA2-5821-4988-9B42-F8E3115B91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101AB73" w14:textId="339E8D48" w:rsidR="00FD6621" w:rsidRPr="007504E6" w:rsidRDefault="00FD6621" w:rsidP="00FD6621">
      <w:pPr>
        <w:keepNext/>
        <w:rPr>
          <w:rFonts w:ascii="Times New Roman" w:hAnsi="Times New Roman" w:cs="Times New Roman"/>
          <w:lang w:val="en-GB"/>
        </w:rPr>
      </w:pPr>
    </w:p>
    <w:p w14:paraId="15AB8824" w14:textId="11793361" w:rsidR="00232B22" w:rsidRPr="007504E6" w:rsidRDefault="00F8058E" w:rsidP="001B0C98">
      <w:pPr>
        <w:pStyle w:val="Parakstszemobjekta"/>
        <w:jc w:val="center"/>
        <w:rPr>
          <w:rFonts w:ascii="Times New Roman" w:hAnsi="Times New Roman" w:cs="Times New Roman"/>
          <w:lang w:val="en-GB"/>
        </w:rPr>
      </w:pPr>
      <w:r w:rsidRPr="007504E6">
        <w:rPr>
          <w:lang w:val="en-GB"/>
        </w:rPr>
        <w:t>Fig</w:t>
      </w:r>
      <w:r w:rsidR="001B0C98" w:rsidRPr="007504E6">
        <w:rPr>
          <w:lang w:val="en-GB"/>
        </w:rPr>
        <w:t xml:space="preserve"> </w:t>
      </w:r>
      <w:r w:rsidR="00D64210" w:rsidRPr="007504E6">
        <w:rPr>
          <w:lang w:val="en-GB"/>
        </w:rPr>
        <w:fldChar w:fldCharType="begin"/>
      </w:r>
      <w:r w:rsidR="00D64210" w:rsidRPr="007504E6">
        <w:rPr>
          <w:lang w:val="en-GB"/>
        </w:rPr>
        <w:instrText xml:space="preserve"> SEQ Attēls \* ARABIC </w:instrText>
      </w:r>
      <w:r w:rsidR="00D64210" w:rsidRPr="007504E6">
        <w:rPr>
          <w:lang w:val="en-GB"/>
        </w:rPr>
        <w:fldChar w:fldCharType="separate"/>
      </w:r>
      <w:r w:rsidR="00D500F7">
        <w:rPr>
          <w:noProof/>
          <w:lang w:val="en-GB"/>
        </w:rPr>
        <w:t>24</w:t>
      </w:r>
      <w:r w:rsidR="00D64210" w:rsidRPr="007504E6">
        <w:rPr>
          <w:noProof/>
          <w:lang w:val="en-GB"/>
        </w:rPr>
        <w:fldChar w:fldCharType="end"/>
      </w:r>
      <w:r w:rsidR="001B0C98" w:rsidRPr="007504E6">
        <w:rPr>
          <w:lang w:val="en-GB"/>
        </w:rPr>
        <w:t xml:space="preserve">. </w:t>
      </w:r>
      <w:r w:rsidR="00114DDA" w:rsidRPr="007504E6">
        <w:rPr>
          <w:rFonts w:ascii="Times New Roman" w:hAnsi="Times New Roman" w:cs="Times New Roman"/>
          <w:lang w:val="en-GB"/>
        </w:rPr>
        <w:t xml:space="preserve">Expert assessment of the impact of measures to combat the shadow economy on </w:t>
      </w:r>
      <w:proofErr w:type="spellStart"/>
      <w:r w:rsidR="00114DDA" w:rsidRPr="007504E6">
        <w:rPr>
          <w:rFonts w:ascii="Times New Roman" w:hAnsi="Times New Roman" w:cs="Times New Roman"/>
          <w:lang w:val="en-GB"/>
        </w:rPr>
        <w:t>labor</w:t>
      </w:r>
      <w:proofErr w:type="spellEnd"/>
      <w:r w:rsidR="00114DDA" w:rsidRPr="007504E6">
        <w:rPr>
          <w:rFonts w:ascii="Times New Roman" w:hAnsi="Times New Roman" w:cs="Times New Roman"/>
          <w:lang w:val="en-GB"/>
        </w:rPr>
        <w:t xml:space="preserve"> and construction material costs</w:t>
      </w:r>
      <w:r w:rsidR="00CE54D7" w:rsidRPr="007504E6">
        <w:rPr>
          <w:rFonts w:ascii="Times New Roman" w:hAnsi="Times New Roman" w:cs="Times New Roman"/>
          <w:lang w:val="en-GB"/>
        </w:rPr>
        <w:t>.</w:t>
      </w:r>
    </w:p>
    <w:p w14:paraId="3F3DDA8D" w14:textId="099E23E8" w:rsidR="00232B22" w:rsidRPr="007504E6" w:rsidRDefault="00114DDA" w:rsidP="00BB3CB6">
      <w:pPr>
        <w:spacing w:line="276" w:lineRule="auto"/>
        <w:ind w:firstLine="0"/>
        <w:rPr>
          <w:rFonts w:ascii="Times New Roman" w:hAnsi="Times New Roman" w:cs="Times New Roman"/>
          <w:lang w:val="en-GB"/>
        </w:rPr>
      </w:pPr>
      <w:r w:rsidRPr="007504E6">
        <w:rPr>
          <w:rFonts w:ascii="Times New Roman" w:hAnsi="Times New Roman" w:cs="Times New Roman"/>
          <w:lang w:val="en-GB"/>
        </w:rPr>
        <w:t xml:space="preserve">The most significant impact on </w:t>
      </w:r>
      <w:proofErr w:type="spellStart"/>
      <w:r w:rsidRPr="007504E6">
        <w:rPr>
          <w:rFonts w:ascii="Times New Roman" w:hAnsi="Times New Roman" w:cs="Times New Roman"/>
          <w:lang w:val="en-GB"/>
        </w:rPr>
        <w:t>labor</w:t>
      </w:r>
      <w:proofErr w:type="spellEnd"/>
      <w:r w:rsidRPr="007504E6">
        <w:rPr>
          <w:rFonts w:ascii="Times New Roman" w:hAnsi="Times New Roman" w:cs="Times New Roman"/>
          <w:lang w:val="en-GB"/>
        </w:rPr>
        <w:t xml:space="preserve"> costs is the entry into force of the general agreement on the minimum wage in the construction sector and the introduction of an electronic working time accounting system. In both cases, the impact of these measures was assessed as mediocre. On the other hand, in the case of the impact of construction material costs, all evaluations are low and in the range between 1.08 out of 10 points for the implementation of the EDLUS system and 1.81 out of 10 minimum wages in the case of a general agreement. It can be concluded that measures to combat the shadow economy have little effect on the cost of building materials</w:t>
      </w:r>
      <w:r w:rsidR="00260508" w:rsidRPr="007504E6">
        <w:rPr>
          <w:rFonts w:ascii="Times New Roman" w:hAnsi="Times New Roman" w:cs="Times New Roman"/>
          <w:lang w:val="en-GB"/>
        </w:rPr>
        <w:t>.</w:t>
      </w:r>
    </w:p>
    <w:p w14:paraId="5E988EE2" w14:textId="1DAE5C41" w:rsidR="00CF6C15" w:rsidRPr="007504E6" w:rsidRDefault="00CF6C15" w:rsidP="0010246A">
      <w:pPr>
        <w:rPr>
          <w:rFonts w:ascii="Times New Roman" w:hAnsi="Times New Roman" w:cs="Times New Roman"/>
          <w:lang w:val="en-GB"/>
        </w:rPr>
      </w:pPr>
    </w:p>
    <w:p w14:paraId="4515EF85" w14:textId="6549EFEF" w:rsidR="00CF6C15" w:rsidRPr="007504E6" w:rsidRDefault="00966AFC" w:rsidP="00D64210">
      <w:pPr>
        <w:pStyle w:val="Virsraksts2"/>
        <w:numPr>
          <w:ilvl w:val="1"/>
          <w:numId w:val="5"/>
        </w:numPr>
        <w:rPr>
          <w:rFonts w:ascii="Times New Roman" w:hAnsi="Times New Roman" w:cs="Times New Roman"/>
          <w:b/>
          <w:bCs/>
          <w:color w:val="262626" w:themeColor="text1" w:themeTint="D9"/>
          <w:lang w:val="en-GB"/>
        </w:rPr>
      </w:pPr>
      <w:r w:rsidRPr="007504E6">
        <w:rPr>
          <w:rFonts w:ascii="Times New Roman" w:hAnsi="Times New Roman" w:cs="Times New Roman"/>
          <w:b/>
          <w:bCs/>
          <w:color w:val="262626" w:themeColor="text1" w:themeTint="D9"/>
          <w:lang w:val="en-GB"/>
        </w:rPr>
        <w:t xml:space="preserve"> </w:t>
      </w:r>
      <w:bookmarkStart w:id="15" w:name="_Toc77714121"/>
      <w:r w:rsidR="00114DDA" w:rsidRPr="007504E6">
        <w:rPr>
          <w:rFonts w:ascii="Times New Roman" w:hAnsi="Times New Roman" w:cs="Times New Roman"/>
          <w:b/>
          <w:bCs/>
          <w:color w:val="262626" w:themeColor="text1" w:themeTint="D9"/>
          <w:lang w:val="en-GB"/>
        </w:rPr>
        <w:t>Impact of Covid-19 on the construction industry</w:t>
      </w:r>
      <w:bookmarkEnd w:id="15"/>
    </w:p>
    <w:p w14:paraId="5AAA7A92" w14:textId="592D1C89" w:rsidR="00CF6C15" w:rsidRPr="007504E6" w:rsidRDefault="00CF6C15" w:rsidP="0010246A">
      <w:pPr>
        <w:rPr>
          <w:rFonts w:ascii="Times New Roman" w:hAnsi="Times New Roman" w:cs="Times New Roman"/>
          <w:lang w:val="en-GB"/>
        </w:rPr>
      </w:pPr>
    </w:p>
    <w:p w14:paraId="61AE0289" w14:textId="77777777" w:rsidR="00E02966" w:rsidRPr="007504E6" w:rsidRDefault="00E02966" w:rsidP="00E02966">
      <w:pPr>
        <w:spacing w:line="276" w:lineRule="auto"/>
        <w:ind w:firstLine="0"/>
        <w:rPr>
          <w:rFonts w:ascii="Times New Roman" w:hAnsi="Times New Roman" w:cs="Times New Roman"/>
          <w:lang w:val="en-GB"/>
        </w:rPr>
      </w:pPr>
      <w:r w:rsidRPr="007504E6">
        <w:rPr>
          <w:rFonts w:ascii="Times New Roman" w:hAnsi="Times New Roman" w:cs="Times New Roman"/>
          <w:lang w:val="en-GB"/>
        </w:rPr>
        <w:t xml:space="preserve">During the study, the Covid-19 pandemic continued for the second year in a row and, in part, epidemiological measures to combat it continued. Consequently, there is reason to believe that these measures and the pandemic itself continue to affect the construction sector. In order to assess the degree of impact, the impact on both changes in </w:t>
      </w:r>
      <w:proofErr w:type="spellStart"/>
      <w:r w:rsidRPr="007504E6">
        <w:rPr>
          <w:rFonts w:ascii="Times New Roman" w:hAnsi="Times New Roman" w:cs="Times New Roman"/>
          <w:lang w:val="en-GB"/>
        </w:rPr>
        <w:t>labor</w:t>
      </w:r>
      <w:proofErr w:type="spellEnd"/>
      <w:r w:rsidRPr="007504E6">
        <w:rPr>
          <w:rFonts w:ascii="Times New Roman" w:hAnsi="Times New Roman" w:cs="Times New Roman"/>
          <w:lang w:val="en-GB"/>
        </w:rPr>
        <w:t xml:space="preserve"> costs and changes in construction material costs was assessed.</w:t>
      </w:r>
    </w:p>
    <w:p w14:paraId="6BA42772" w14:textId="77777777" w:rsidR="00E02966" w:rsidRPr="007504E6" w:rsidRDefault="00E02966" w:rsidP="00E02966">
      <w:pPr>
        <w:spacing w:line="276" w:lineRule="auto"/>
        <w:ind w:firstLine="0"/>
        <w:rPr>
          <w:rFonts w:ascii="Times New Roman" w:hAnsi="Times New Roman" w:cs="Times New Roman"/>
          <w:lang w:val="en-GB"/>
        </w:rPr>
      </w:pPr>
    </w:p>
    <w:p w14:paraId="04B60372" w14:textId="138A2CEA" w:rsidR="007A1A4D" w:rsidRPr="007504E6" w:rsidRDefault="00E02966" w:rsidP="00E02966">
      <w:pPr>
        <w:spacing w:line="276" w:lineRule="auto"/>
        <w:ind w:firstLine="0"/>
        <w:rPr>
          <w:rFonts w:ascii="Times New Roman" w:hAnsi="Times New Roman" w:cs="Times New Roman"/>
          <w:lang w:val="en-GB"/>
        </w:rPr>
      </w:pPr>
      <w:r w:rsidRPr="007504E6">
        <w:rPr>
          <w:rFonts w:ascii="Times New Roman" w:hAnsi="Times New Roman" w:cs="Times New Roman"/>
          <w:lang w:val="en-GB"/>
        </w:rPr>
        <w:t xml:space="preserve">Evaluations were performed on a 10-point scale, with the possibility to indicate both positive and negative degree of impact. Overall, the impact of Covid-19 was assessed by experts as positive, meaning that it increases rather than decreases construction costs. The cost of building materials is more affected than the cost of </w:t>
      </w:r>
      <w:proofErr w:type="spellStart"/>
      <w:r w:rsidRPr="007504E6">
        <w:rPr>
          <w:rFonts w:ascii="Times New Roman" w:hAnsi="Times New Roman" w:cs="Times New Roman"/>
          <w:lang w:val="en-GB"/>
        </w:rPr>
        <w:t>labor</w:t>
      </w:r>
      <w:proofErr w:type="spellEnd"/>
      <w:r w:rsidRPr="007504E6">
        <w:rPr>
          <w:rFonts w:ascii="Times New Roman" w:hAnsi="Times New Roman" w:cs="Times New Roman"/>
          <w:lang w:val="en-GB"/>
        </w:rPr>
        <w:t xml:space="preserve">. The average expert assessment of the impact of Covid-19 on building materials iMacs is 5.52 out of 10, which indicates a moderate impact. At the same time, the average impact on </w:t>
      </w:r>
      <w:proofErr w:type="spellStart"/>
      <w:r w:rsidRPr="007504E6">
        <w:rPr>
          <w:rFonts w:ascii="Times New Roman" w:hAnsi="Times New Roman" w:cs="Times New Roman"/>
          <w:lang w:val="en-GB"/>
        </w:rPr>
        <w:t>labor</w:t>
      </w:r>
      <w:proofErr w:type="spellEnd"/>
      <w:r w:rsidRPr="007504E6">
        <w:rPr>
          <w:rFonts w:ascii="Times New Roman" w:hAnsi="Times New Roman" w:cs="Times New Roman"/>
          <w:lang w:val="en-GB"/>
        </w:rPr>
        <w:t xml:space="preserve"> costs is 3.85 out of 10, indicating a weak impact</w:t>
      </w:r>
      <w:r w:rsidR="00BA6820" w:rsidRPr="007504E6">
        <w:rPr>
          <w:rFonts w:ascii="Times New Roman" w:hAnsi="Times New Roman" w:cs="Times New Roman"/>
          <w:lang w:val="en-GB"/>
        </w:rPr>
        <w:t>.</w:t>
      </w:r>
    </w:p>
    <w:p w14:paraId="435D1A39" w14:textId="77777777" w:rsidR="009D5D01" w:rsidRPr="007504E6" w:rsidRDefault="009D5D01" w:rsidP="00BB3CB6">
      <w:pPr>
        <w:spacing w:line="276" w:lineRule="auto"/>
        <w:ind w:firstLine="0"/>
        <w:rPr>
          <w:rFonts w:ascii="Times New Roman" w:hAnsi="Times New Roman" w:cs="Times New Roman"/>
          <w:lang w:val="en-GB"/>
        </w:rPr>
      </w:pPr>
    </w:p>
    <w:p w14:paraId="70511DC7" w14:textId="582D8B98" w:rsidR="00D172F2" w:rsidRPr="007504E6" w:rsidRDefault="00DB730E" w:rsidP="00D172F2">
      <w:pPr>
        <w:keepNext/>
        <w:rPr>
          <w:rFonts w:ascii="Times New Roman" w:hAnsi="Times New Roman" w:cs="Times New Roman"/>
          <w:lang w:val="en-GB"/>
        </w:rPr>
      </w:pPr>
      <w:r w:rsidRPr="007504E6">
        <w:rPr>
          <w:noProof/>
          <w:lang w:val="en-GB"/>
        </w:rPr>
        <w:drawing>
          <wp:inline distT="0" distB="0" distL="0" distR="0" wp14:anchorId="665119D6" wp14:editId="4E724A2E">
            <wp:extent cx="5196840" cy="2519680"/>
            <wp:effectExtent l="0" t="0" r="3810" b="13970"/>
            <wp:docPr id="243" name="Chart 243">
              <a:extLst xmlns:a="http://schemas.openxmlformats.org/drawingml/2006/main">
                <a:ext uri="{FF2B5EF4-FFF2-40B4-BE49-F238E27FC236}">
                  <a16:creationId xmlns:a16="http://schemas.microsoft.com/office/drawing/2014/main" id="{90E5136C-BBA2-49EA-BD66-44777D8372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FB707E9" w14:textId="7FF67B5E" w:rsidR="00BA6820" w:rsidRPr="007504E6" w:rsidRDefault="00E02966" w:rsidP="005F622A">
      <w:pPr>
        <w:pStyle w:val="Parakstszemobjekta"/>
        <w:jc w:val="center"/>
        <w:rPr>
          <w:rFonts w:ascii="Times New Roman" w:hAnsi="Times New Roman" w:cs="Times New Roman"/>
          <w:lang w:val="en-GB"/>
        </w:rPr>
      </w:pPr>
      <w:r w:rsidRPr="007504E6">
        <w:rPr>
          <w:lang w:val="en-GB"/>
        </w:rPr>
        <w:t>Fig</w:t>
      </w:r>
      <w:r w:rsidR="001B0C98" w:rsidRPr="007504E6">
        <w:rPr>
          <w:lang w:val="en-GB"/>
        </w:rPr>
        <w:t xml:space="preserve"> </w:t>
      </w:r>
      <w:r w:rsidR="00D64210" w:rsidRPr="007504E6">
        <w:rPr>
          <w:lang w:val="en-GB"/>
        </w:rPr>
        <w:fldChar w:fldCharType="begin"/>
      </w:r>
      <w:r w:rsidR="00D64210" w:rsidRPr="007504E6">
        <w:rPr>
          <w:lang w:val="en-GB"/>
        </w:rPr>
        <w:instrText xml:space="preserve"> SEQ Attēls \* ARABIC </w:instrText>
      </w:r>
      <w:r w:rsidR="00D64210" w:rsidRPr="007504E6">
        <w:rPr>
          <w:lang w:val="en-GB"/>
        </w:rPr>
        <w:fldChar w:fldCharType="separate"/>
      </w:r>
      <w:r w:rsidR="00D500F7">
        <w:rPr>
          <w:noProof/>
          <w:lang w:val="en-GB"/>
        </w:rPr>
        <w:t>25</w:t>
      </w:r>
      <w:r w:rsidR="00D64210" w:rsidRPr="007504E6">
        <w:rPr>
          <w:noProof/>
          <w:lang w:val="en-GB"/>
        </w:rPr>
        <w:fldChar w:fldCharType="end"/>
      </w:r>
      <w:r w:rsidR="001B0C98" w:rsidRPr="007504E6">
        <w:rPr>
          <w:lang w:val="en-GB"/>
        </w:rPr>
        <w:t xml:space="preserve">. </w:t>
      </w:r>
      <w:r w:rsidRPr="007504E6">
        <w:rPr>
          <w:rFonts w:ascii="Times New Roman" w:hAnsi="Times New Roman" w:cs="Times New Roman"/>
          <w:lang w:val="en-GB"/>
        </w:rPr>
        <w:t>Covid-19 impact assessment by different expert groups</w:t>
      </w:r>
      <w:r w:rsidR="00326952" w:rsidRPr="007504E6">
        <w:rPr>
          <w:rFonts w:ascii="Times New Roman" w:hAnsi="Times New Roman" w:cs="Times New Roman"/>
          <w:lang w:val="en-GB"/>
        </w:rPr>
        <w:t>.</w:t>
      </w:r>
    </w:p>
    <w:p w14:paraId="649BE49F" w14:textId="77777777" w:rsidR="00E02966" w:rsidRPr="007504E6" w:rsidRDefault="00E02966" w:rsidP="00E02966">
      <w:pPr>
        <w:spacing w:line="240" w:lineRule="auto"/>
        <w:ind w:firstLine="0"/>
        <w:rPr>
          <w:rFonts w:ascii="Times New Roman" w:hAnsi="Times New Roman" w:cs="Times New Roman"/>
          <w:lang w:val="en-GB"/>
        </w:rPr>
      </w:pPr>
      <w:r w:rsidRPr="007504E6">
        <w:rPr>
          <w:rFonts w:ascii="Times New Roman" w:hAnsi="Times New Roman" w:cs="Times New Roman"/>
          <w:lang w:val="en-GB"/>
        </w:rPr>
        <w:t>A detailed analysis of the assessment by expert groups also reveals differences of opinion. The overall assessment identified that the cost of Covid-19 building materials had a more significant impact, however, the sub-sector of construction of transport facilities is an exception, where the opposite trend was identified. The construction of residential and non-residential buildings is the most sensitive to Covid-19 and has therefore suffered the most in the context of building material costs.</w:t>
      </w:r>
    </w:p>
    <w:p w14:paraId="4B9E97A1" w14:textId="77777777" w:rsidR="00E02966" w:rsidRPr="007504E6" w:rsidRDefault="00E02966" w:rsidP="00E02966">
      <w:pPr>
        <w:pStyle w:val="Sarakstarindkopa"/>
        <w:spacing w:line="240" w:lineRule="auto"/>
        <w:ind w:firstLine="0"/>
        <w:rPr>
          <w:rFonts w:ascii="Times New Roman" w:hAnsi="Times New Roman" w:cs="Times New Roman"/>
          <w:lang w:val="en-GB"/>
        </w:rPr>
      </w:pPr>
    </w:p>
    <w:p w14:paraId="3C3F6B0C" w14:textId="1E2BDC99" w:rsidR="009D38EC" w:rsidRPr="007504E6" w:rsidRDefault="00E02966" w:rsidP="00E02966">
      <w:pPr>
        <w:pStyle w:val="Sarakstarindkopa"/>
        <w:spacing w:line="240" w:lineRule="auto"/>
        <w:ind w:left="0" w:firstLine="0"/>
        <w:rPr>
          <w:rFonts w:ascii="Times New Roman" w:hAnsi="Times New Roman" w:cs="Times New Roman"/>
          <w:lang w:val="en-GB"/>
        </w:rPr>
      </w:pPr>
      <w:r w:rsidRPr="007504E6">
        <w:rPr>
          <w:rFonts w:ascii="Times New Roman" w:hAnsi="Times New Roman" w:cs="Times New Roman"/>
          <w:lang w:val="en-GB"/>
        </w:rPr>
        <w:t>In conducting the study in 2021, the authors were confronted with the strong influence of Covid-19 and a relatively larger situation of heterogeneity, marked by sharp fluctuations in the components of construction. The development of the industry is currently associated with unstable development, characterized by marked changes in development vectors. Statistical forecasts are too moderate, but expert forecasts are extremely rapid. In such situations, the question arises as to the reliability of the combined forecast. To address such a situation, the authors recommend the use of a weighted combined (expert-statistical) forecast</w:t>
      </w:r>
      <w:r w:rsidR="009D38EC" w:rsidRPr="007504E6">
        <w:rPr>
          <w:rFonts w:ascii="Times New Roman" w:hAnsi="Times New Roman" w:cs="Times New Roman"/>
          <w:lang w:val="en-GB"/>
        </w:rPr>
        <w:t xml:space="preserve">. </w:t>
      </w:r>
    </w:p>
    <w:p w14:paraId="0D2DE4D0" w14:textId="7E92F85E" w:rsidR="00430954" w:rsidRPr="007504E6" w:rsidRDefault="001B0C98" w:rsidP="00BB3CB6">
      <w:pPr>
        <w:spacing w:line="276" w:lineRule="auto"/>
        <w:ind w:firstLine="0"/>
        <w:rPr>
          <w:rFonts w:ascii="Times New Roman" w:hAnsi="Times New Roman" w:cs="Times New Roman"/>
          <w:lang w:val="en-GB"/>
        </w:rPr>
      </w:pPr>
      <w:r w:rsidRPr="007504E6">
        <w:rPr>
          <w:rFonts w:ascii="Times New Roman" w:hAnsi="Times New Roman" w:cs="Times New Roman"/>
          <w:noProof/>
          <w:lang w:val="en-GB"/>
        </w:rPr>
        <w:drawing>
          <wp:anchor distT="0" distB="0" distL="114300" distR="114300" simplePos="0" relativeHeight="251782144" behindDoc="0" locked="0" layoutInCell="1" allowOverlap="1" wp14:anchorId="03498DBE" wp14:editId="74367C24">
            <wp:simplePos x="0" y="0"/>
            <wp:positionH relativeFrom="margin">
              <wp:posOffset>495530</wp:posOffset>
            </wp:positionH>
            <wp:positionV relativeFrom="paragraph">
              <wp:posOffset>5457</wp:posOffset>
            </wp:positionV>
            <wp:extent cx="1790172" cy="1790172"/>
            <wp:effectExtent l="0" t="0" r="0" b="0"/>
            <wp:wrapNone/>
            <wp:docPr id="58" name="Graphic 58" descr="One solid circle, one ring, and one circle filled with diagon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descr="One solid circle, one ring, and one circle filled with diagonal lines"/>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90172" cy="1790172"/>
                    </a:xfrm>
                    <a:prstGeom prst="rect">
                      <a:avLst/>
                    </a:prstGeom>
                  </pic:spPr>
                </pic:pic>
              </a:graphicData>
            </a:graphic>
            <wp14:sizeRelH relativeFrom="margin">
              <wp14:pctWidth>0</wp14:pctWidth>
            </wp14:sizeRelH>
            <wp14:sizeRelV relativeFrom="margin">
              <wp14:pctHeight>0</wp14:pctHeight>
            </wp14:sizeRelV>
          </wp:anchor>
        </w:drawing>
      </w:r>
    </w:p>
    <w:p w14:paraId="51B24C7A" w14:textId="686441AA" w:rsidR="00D15E10" w:rsidRPr="007504E6" w:rsidRDefault="00D15E10" w:rsidP="00BB3CB6">
      <w:pPr>
        <w:spacing w:line="276" w:lineRule="auto"/>
        <w:ind w:firstLine="0"/>
        <w:rPr>
          <w:rFonts w:ascii="Times New Roman" w:hAnsi="Times New Roman" w:cs="Times New Roman"/>
          <w:lang w:val="en-GB"/>
        </w:rPr>
      </w:pPr>
    </w:p>
    <w:p w14:paraId="11904529" w14:textId="2B684A78" w:rsidR="00D15E10" w:rsidRPr="007504E6" w:rsidRDefault="00D15E10" w:rsidP="00BB3CB6">
      <w:pPr>
        <w:spacing w:line="276" w:lineRule="auto"/>
        <w:ind w:firstLine="0"/>
        <w:rPr>
          <w:rFonts w:ascii="Times New Roman" w:hAnsi="Times New Roman" w:cs="Times New Roman"/>
          <w:lang w:val="en-GB"/>
        </w:rPr>
      </w:pPr>
    </w:p>
    <w:p w14:paraId="085CAF1B" w14:textId="4F189EDA" w:rsidR="00D15E10" w:rsidRPr="007504E6" w:rsidRDefault="001B0C98" w:rsidP="00BB3CB6">
      <w:pPr>
        <w:spacing w:line="276" w:lineRule="auto"/>
        <w:ind w:firstLine="0"/>
        <w:rPr>
          <w:rFonts w:ascii="Times New Roman" w:hAnsi="Times New Roman" w:cs="Times New Roman"/>
          <w:lang w:val="en-GB"/>
        </w:rPr>
      </w:pPr>
      <w:r w:rsidRPr="007504E6">
        <w:rPr>
          <w:rFonts w:ascii="Times New Roman" w:hAnsi="Times New Roman" w:cs="Times New Roman"/>
          <w:noProof/>
          <w:lang w:val="en-GB"/>
        </w:rPr>
        <w:drawing>
          <wp:anchor distT="0" distB="0" distL="114300" distR="114300" simplePos="0" relativeHeight="251780096" behindDoc="0" locked="0" layoutInCell="1" allowOverlap="1" wp14:anchorId="0ECBD0AF" wp14:editId="4483594E">
            <wp:simplePos x="0" y="0"/>
            <wp:positionH relativeFrom="margin">
              <wp:posOffset>1757513</wp:posOffset>
            </wp:positionH>
            <wp:positionV relativeFrom="paragraph">
              <wp:posOffset>294110</wp:posOffset>
            </wp:positionV>
            <wp:extent cx="4955540" cy="45719"/>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55540" cy="45719"/>
                    </a:xfrm>
                    <a:prstGeom prst="rect">
                      <a:avLst/>
                    </a:prstGeom>
                    <a:noFill/>
                  </pic:spPr>
                </pic:pic>
              </a:graphicData>
            </a:graphic>
            <wp14:sizeRelH relativeFrom="margin">
              <wp14:pctWidth>0</wp14:pctWidth>
            </wp14:sizeRelH>
            <wp14:sizeRelV relativeFrom="margin">
              <wp14:pctHeight>0</wp14:pctHeight>
            </wp14:sizeRelV>
          </wp:anchor>
        </w:drawing>
      </w:r>
    </w:p>
    <w:p w14:paraId="2D486D03" w14:textId="42FC6BDD" w:rsidR="00D64C5F" w:rsidRPr="007504E6" w:rsidRDefault="00570EC8" w:rsidP="00D64210">
      <w:pPr>
        <w:pStyle w:val="Virsraksts1"/>
        <w:numPr>
          <w:ilvl w:val="0"/>
          <w:numId w:val="5"/>
        </w:numPr>
        <w:spacing w:line="240" w:lineRule="auto"/>
        <w:ind w:firstLine="0"/>
        <w:rPr>
          <w:rFonts w:ascii="Times New Roman" w:hAnsi="Times New Roman" w:cs="Times New Roman"/>
          <w:color w:val="262626" w:themeColor="text1" w:themeTint="D9"/>
          <w:lang w:val="en-GB"/>
        </w:rPr>
      </w:pPr>
      <w:bookmarkStart w:id="16" w:name="_Toc77714122"/>
      <w:r w:rsidRPr="007504E6">
        <w:rPr>
          <w:rFonts w:ascii="Times New Roman" w:hAnsi="Times New Roman" w:cs="Times New Roman"/>
          <w:color w:val="262626" w:themeColor="text1" w:themeTint="D9"/>
          <w:lang w:val="en-GB"/>
        </w:rPr>
        <w:t>RESEARCH METHODOLOGY</w:t>
      </w:r>
      <w:bookmarkEnd w:id="16"/>
    </w:p>
    <w:p w14:paraId="4E8AD9B7" w14:textId="77777777" w:rsidR="00D64C5F" w:rsidRPr="007504E6" w:rsidRDefault="00D64C5F" w:rsidP="00D64C5F">
      <w:pPr>
        <w:spacing w:line="240" w:lineRule="auto"/>
        <w:rPr>
          <w:rFonts w:ascii="Times New Roman" w:hAnsi="Times New Roman" w:cs="Times New Roman"/>
          <w:lang w:val="en-GB"/>
        </w:rPr>
      </w:pPr>
    </w:p>
    <w:p w14:paraId="3FCF2237" w14:textId="7867EA3E" w:rsidR="00D64C5F" w:rsidRPr="007504E6" w:rsidRDefault="00570EC8" w:rsidP="00BB3CB6">
      <w:pPr>
        <w:spacing w:line="240" w:lineRule="auto"/>
        <w:ind w:firstLine="0"/>
        <w:rPr>
          <w:rFonts w:ascii="Times New Roman" w:hAnsi="Times New Roman" w:cs="Times New Roman"/>
          <w:lang w:val="en-GB"/>
        </w:rPr>
      </w:pPr>
      <w:r w:rsidRPr="007504E6">
        <w:rPr>
          <w:rFonts w:ascii="Times New Roman" w:hAnsi="Times New Roman" w:cs="Times New Roman"/>
          <w:lang w:val="en-GB"/>
        </w:rPr>
        <w:t xml:space="preserve">The research uses the forecasting methodology developed in 2018 and later supplemented for data acquisition and analysis, which allows to achieve the goals set in the research "Development of research methodology and research on forecasted changes in </w:t>
      </w:r>
      <w:proofErr w:type="spellStart"/>
      <w:r w:rsidRPr="007504E6">
        <w:rPr>
          <w:rFonts w:ascii="Times New Roman" w:hAnsi="Times New Roman" w:cs="Times New Roman"/>
          <w:lang w:val="en-GB"/>
        </w:rPr>
        <w:t>labor</w:t>
      </w:r>
      <w:proofErr w:type="spellEnd"/>
      <w:r w:rsidRPr="007504E6">
        <w:rPr>
          <w:rFonts w:ascii="Times New Roman" w:hAnsi="Times New Roman" w:cs="Times New Roman"/>
          <w:lang w:val="en-GB"/>
        </w:rPr>
        <w:t xml:space="preserve"> and construction costs in the construction industry in Latvia" and to assess the quality of results. The methodology is based on well-established quantitative and qualitative methods, which were selected in accordance with the specifics and objectives of the Research. The tasks to be achieved by the methodology are</w:t>
      </w:r>
      <w:r w:rsidR="00D64C5F" w:rsidRPr="007504E6">
        <w:rPr>
          <w:rFonts w:ascii="Times New Roman" w:hAnsi="Times New Roman" w:cs="Times New Roman"/>
          <w:lang w:val="en-GB"/>
        </w:rPr>
        <w:t>:</w:t>
      </w:r>
    </w:p>
    <w:p w14:paraId="4A2B7CD9" w14:textId="77777777" w:rsidR="00BB3CB6" w:rsidRPr="007504E6" w:rsidRDefault="00BB3CB6" w:rsidP="00BB3CB6">
      <w:pPr>
        <w:spacing w:line="240" w:lineRule="auto"/>
        <w:ind w:firstLine="0"/>
        <w:rPr>
          <w:rFonts w:ascii="Times New Roman" w:hAnsi="Times New Roman" w:cs="Times New Roman"/>
          <w:lang w:val="en-GB"/>
        </w:rPr>
      </w:pPr>
    </w:p>
    <w:p w14:paraId="1C5DEFF4" w14:textId="14EA74DF" w:rsidR="00570EC8" w:rsidRPr="007504E6" w:rsidRDefault="00570EC8" w:rsidP="00570EC8">
      <w:pPr>
        <w:pStyle w:val="Sarakstarindkopa"/>
        <w:numPr>
          <w:ilvl w:val="0"/>
          <w:numId w:val="2"/>
        </w:numPr>
        <w:spacing w:line="240" w:lineRule="auto"/>
        <w:rPr>
          <w:rFonts w:ascii="Times New Roman" w:hAnsi="Times New Roman" w:cs="Times New Roman"/>
          <w:lang w:val="en-GB"/>
        </w:rPr>
      </w:pPr>
      <w:r w:rsidRPr="007504E6">
        <w:rPr>
          <w:rFonts w:ascii="Times New Roman" w:hAnsi="Times New Roman" w:cs="Times New Roman"/>
          <w:lang w:val="en-GB"/>
        </w:rPr>
        <w:t>Identify the indicators for which statistical information is to be compiled;</w:t>
      </w:r>
    </w:p>
    <w:p w14:paraId="5ACB1B03" w14:textId="031F5477" w:rsidR="00570EC8" w:rsidRPr="007504E6" w:rsidRDefault="00570EC8" w:rsidP="00570EC8">
      <w:pPr>
        <w:pStyle w:val="Sarakstarindkopa"/>
        <w:numPr>
          <w:ilvl w:val="0"/>
          <w:numId w:val="2"/>
        </w:numPr>
        <w:spacing w:line="240" w:lineRule="auto"/>
        <w:rPr>
          <w:rFonts w:ascii="Times New Roman" w:hAnsi="Times New Roman" w:cs="Times New Roman"/>
          <w:lang w:val="en-GB"/>
        </w:rPr>
      </w:pPr>
      <w:r w:rsidRPr="007504E6">
        <w:rPr>
          <w:rFonts w:ascii="Times New Roman" w:hAnsi="Times New Roman" w:cs="Times New Roman"/>
          <w:lang w:val="en-GB"/>
        </w:rPr>
        <w:t>Identify indicators for which expert assessments are required;</w:t>
      </w:r>
    </w:p>
    <w:p w14:paraId="3CD824D9" w14:textId="222B1767" w:rsidR="00570EC8" w:rsidRPr="007504E6" w:rsidRDefault="00570EC8" w:rsidP="00570EC8">
      <w:pPr>
        <w:pStyle w:val="Sarakstarindkopa"/>
        <w:numPr>
          <w:ilvl w:val="0"/>
          <w:numId w:val="2"/>
        </w:numPr>
        <w:spacing w:line="240" w:lineRule="auto"/>
        <w:rPr>
          <w:rFonts w:ascii="Times New Roman" w:hAnsi="Times New Roman" w:cs="Times New Roman"/>
          <w:lang w:val="en-GB"/>
        </w:rPr>
      </w:pPr>
      <w:r w:rsidRPr="007504E6">
        <w:rPr>
          <w:rFonts w:ascii="Times New Roman" w:hAnsi="Times New Roman" w:cs="Times New Roman"/>
          <w:lang w:val="en-GB"/>
        </w:rPr>
        <w:t>To choose calculation methods to be used in statistical processing of obtained data and estimates;</w:t>
      </w:r>
    </w:p>
    <w:p w14:paraId="4B0A5BBE" w14:textId="1A3686E8" w:rsidR="00570EC8" w:rsidRPr="007504E6" w:rsidRDefault="00570EC8" w:rsidP="00570EC8">
      <w:pPr>
        <w:pStyle w:val="Sarakstarindkopa"/>
        <w:numPr>
          <w:ilvl w:val="0"/>
          <w:numId w:val="2"/>
        </w:numPr>
        <w:spacing w:line="240" w:lineRule="auto"/>
        <w:rPr>
          <w:rFonts w:ascii="Times New Roman" w:hAnsi="Times New Roman" w:cs="Times New Roman"/>
          <w:lang w:val="en-GB"/>
        </w:rPr>
      </w:pPr>
      <w:r w:rsidRPr="007504E6">
        <w:rPr>
          <w:rFonts w:ascii="Times New Roman" w:hAnsi="Times New Roman" w:cs="Times New Roman"/>
          <w:lang w:val="en-GB"/>
        </w:rPr>
        <w:t>To select quantitative methods to be used in determining development trends and assessing the quality of the obtained models;</w:t>
      </w:r>
    </w:p>
    <w:p w14:paraId="676E69BA" w14:textId="0C507A23" w:rsidR="00570EC8" w:rsidRPr="007504E6" w:rsidRDefault="00570EC8" w:rsidP="00570EC8">
      <w:pPr>
        <w:pStyle w:val="Sarakstarindkopa"/>
        <w:numPr>
          <w:ilvl w:val="0"/>
          <w:numId w:val="2"/>
        </w:numPr>
        <w:spacing w:line="240" w:lineRule="auto"/>
        <w:rPr>
          <w:rFonts w:ascii="Times New Roman" w:hAnsi="Times New Roman" w:cs="Times New Roman"/>
          <w:lang w:val="en-GB"/>
        </w:rPr>
      </w:pPr>
      <w:r w:rsidRPr="007504E6">
        <w:rPr>
          <w:rFonts w:ascii="Times New Roman" w:hAnsi="Times New Roman" w:cs="Times New Roman"/>
          <w:lang w:val="en-GB"/>
        </w:rPr>
        <w:t>To develop a combined method for the development of forecasts of changes in construction costs of different types;</w:t>
      </w:r>
    </w:p>
    <w:p w14:paraId="72514155" w14:textId="0B0F6D01" w:rsidR="00D64C5F" w:rsidRPr="007504E6" w:rsidRDefault="00570EC8" w:rsidP="00570EC8">
      <w:pPr>
        <w:pStyle w:val="Sarakstarindkopa"/>
        <w:numPr>
          <w:ilvl w:val="0"/>
          <w:numId w:val="2"/>
        </w:numPr>
        <w:spacing w:line="240" w:lineRule="auto"/>
        <w:rPr>
          <w:rFonts w:ascii="Times New Roman" w:hAnsi="Times New Roman" w:cs="Times New Roman"/>
          <w:lang w:val="en-GB"/>
        </w:rPr>
      </w:pPr>
      <w:r w:rsidRPr="007504E6">
        <w:rPr>
          <w:rFonts w:ascii="Times New Roman" w:hAnsi="Times New Roman" w:cs="Times New Roman"/>
          <w:lang w:val="en-GB"/>
        </w:rPr>
        <w:t>To determine a method for identifying internal and external factors influencing changes in construction costs and assessing their impact</w:t>
      </w:r>
      <w:r w:rsidR="00D64C5F" w:rsidRPr="007504E6">
        <w:rPr>
          <w:rFonts w:ascii="Times New Roman" w:hAnsi="Times New Roman" w:cs="Times New Roman"/>
          <w:lang w:val="en-GB"/>
        </w:rPr>
        <w:t>.</w:t>
      </w:r>
    </w:p>
    <w:p w14:paraId="05D89EF6" w14:textId="77777777" w:rsidR="00BB3CB6" w:rsidRPr="007504E6" w:rsidRDefault="00BB3CB6" w:rsidP="00BB3CB6">
      <w:pPr>
        <w:spacing w:line="240" w:lineRule="auto"/>
        <w:ind w:firstLine="0"/>
        <w:rPr>
          <w:rFonts w:ascii="Times New Roman" w:hAnsi="Times New Roman" w:cs="Times New Roman"/>
          <w:lang w:val="en-GB"/>
        </w:rPr>
      </w:pPr>
    </w:p>
    <w:p w14:paraId="32444819" w14:textId="300355AF" w:rsidR="00D64C5F" w:rsidRPr="007504E6" w:rsidRDefault="00307B79" w:rsidP="00BB3CB6">
      <w:pPr>
        <w:spacing w:line="240" w:lineRule="auto"/>
        <w:ind w:firstLine="0"/>
        <w:rPr>
          <w:rFonts w:ascii="Times New Roman" w:hAnsi="Times New Roman" w:cs="Times New Roman"/>
          <w:lang w:val="en-GB"/>
        </w:rPr>
      </w:pPr>
      <w:r w:rsidRPr="007504E6">
        <w:rPr>
          <w:rFonts w:ascii="Times New Roman" w:hAnsi="Times New Roman" w:cs="Times New Roman"/>
          <w:lang w:val="en-GB"/>
        </w:rPr>
        <w:t>The steps of the research envisage data acquisition and survey of experts in general in the construction industry, as well as in subgroups by type of objects and by types of resources</w:t>
      </w:r>
      <w:r w:rsidR="00D64C5F" w:rsidRPr="007504E6">
        <w:rPr>
          <w:rFonts w:ascii="Times New Roman" w:hAnsi="Times New Roman" w:cs="Times New Roman"/>
          <w:lang w:val="en-GB"/>
        </w:rPr>
        <w:t>.</w:t>
      </w:r>
    </w:p>
    <w:p w14:paraId="2C331389" w14:textId="77777777" w:rsidR="00BB3CB6" w:rsidRPr="007504E6" w:rsidRDefault="00BB3CB6" w:rsidP="00BB3CB6">
      <w:pPr>
        <w:spacing w:line="240" w:lineRule="auto"/>
        <w:ind w:firstLine="0"/>
        <w:rPr>
          <w:rFonts w:ascii="Times New Roman" w:hAnsi="Times New Roman" w:cs="Times New Roman"/>
          <w:lang w:val="en-GB"/>
        </w:rPr>
      </w:pPr>
    </w:p>
    <w:p w14:paraId="008EC86B" w14:textId="065B9210" w:rsidR="00D64C5F" w:rsidRPr="007504E6" w:rsidRDefault="00307B79" w:rsidP="00BB3CB6">
      <w:pPr>
        <w:spacing w:line="240" w:lineRule="auto"/>
        <w:ind w:firstLine="0"/>
        <w:rPr>
          <w:rFonts w:ascii="Times New Roman" w:hAnsi="Times New Roman" w:cs="Times New Roman"/>
          <w:lang w:val="en-GB"/>
        </w:rPr>
      </w:pPr>
      <w:r w:rsidRPr="007504E6">
        <w:rPr>
          <w:rFonts w:ascii="Times New Roman" w:hAnsi="Times New Roman" w:cs="Times New Roman"/>
          <w:lang w:val="en-GB"/>
        </w:rPr>
        <w:t>The following correspondences of concepts are accepted within the framework of the methodology</w:t>
      </w:r>
      <w:r w:rsidRPr="007504E6">
        <w:rPr>
          <w:rStyle w:val="Vresatsauce"/>
          <w:rFonts w:ascii="Times New Roman" w:hAnsi="Times New Roman" w:cs="Times New Roman"/>
          <w:vertAlign w:val="baseline"/>
          <w:lang w:val="en-GB"/>
        </w:rPr>
        <w:t xml:space="preserve"> </w:t>
      </w:r>
      <w:r w:rsidR="00D64C5F" w:rsidRPr="007504E6">
        <w:rPr>
          <w:rStyle w:val="Vresatsauce"/>
          <w:rFonts w:ascii="Times New Roman" w:hAnsi="Times New Roman" w:cs="Times New Roman"/>
          <w:lang w:val="en-GB"/>
        </w:rPr>
        <w:footnoteReference w:id="1"/>
      </w:r>
      <w:r w:rsidR="00D64C5F" w:rsidRPr="007504E6">
        <w:rPr>
          <w:rFonts w:ascii="Times New Roman" w:hAnsi="Times New Roman" w:cs="Times New Roman"/>
          <w:lang w:val="en-GB"/>
        </w:rPr>
        <w:t>:</w:t>
      </w:r>
    </w:p>
    <w:p w14:paraId="4F2897FC" w14:textId="77777777" w:rsidR="00BB3CB6" w:rsidRPr="007504E6" w:rsidRDefault="00BB3CB6" w:rsidP="00BB3CB6">
      <w:pPr>
        <w:spacing w:line="240" w:lineRule="auto"/>
        <w:ind w:firstLine="0"/>
        <w:rPr>
          <w:rFonts w:ascii="Times New Roman" w:hAnsi="Times New Roman" w:cs="Times New Roman"/>
          <w:lang w:val="en-GB"/>
        </w:rPr>
      </w:pPr>
    </w:p>
    <w:p w14:paraId="73252D05" w14:textId="30A743D2" w:rsidR="004B6AC9" w:rsidRPr="007504E6" w:rsidRDefault="004B6AC9" w:rsidP="004B6AC9">
      <w:pPr>
        <w:pStyle w:val="Sarakstarindkopa"/>
        <w:numPr>
          <w:ilvl w:val="0"/>
          <w:numId w:val="13"/>
        </w:numPr>
        <w:spacing w:line="240" w:lineRule="auto"/>
        <w:rPr>
          <w:rFonts w:ascii="Times New Roman" w:hAnsi="Times New Roman" w:cs="Times New Roman"/>
          <w:lang w:val="en-GB"/>
        </w:rPr>
      </w:pPr>
      <w:r w:rsidRPr="007504E6">
        <w:rPr>
          <w:rFonts w:ascii="Times New Roman" w:hAnsi="Times New Roman" w:cs="Times New Roman"/>
          <w:lang w:val="en-GB"/>
        </w:rPr>
        <w:t>Construction sub-sectors are considered as groups of objects, according to the terminology used by the CSB;</w:t>
      </w:r>
    </w:p>
    <w:p w14:paraId="743D1485" w14:textId="73AF49C6" w:rsidR="004B6AC9" w:rsidRPr="007504E6" w:rsidRDefault="004B6AC9" w:rsidP="004B6AC9">
      <w:pPr>
        <w:pStyle w:val="Sarakstarindkopa"/>
        <w:numPr>
          <w:ilvl w:val="0"/>
          <w:numId w:val="13"/>
        </w:numPr>
        <w:spacing w:line="240" w:lineRule="auto"/>
        <w:rPr>
          <w:rFonts w:ascii="Times New Roman" w:hAnsi="Times New Roman" w:cs="Times New Roman"/>
          <w:lang w:val="en-GB"/>
        </w:rPr>
      </w:pPr>
      <w:r w:rsidRPr="007504E6">
        <w:rPr>
          <w:rFonts w:ascii="Times New Roman" w:hAnsi="Times New Roman" w:cs="Times New Roman"/>
          <w:lang w:val="en-GB"/>
        </w:rPr>
        <w:t>Changes in construction costs by segments are considered to be changes by type of resources, according to the terminology used by the CSB;</w:t>
      </w:r>
    </w:p>
    <w:p w14:paraId="3C02BFFC" w14:textId="6E359684" w:rsidR="00D64C5F" w:rsidRPr="007504E6" w:rsidRDefault="004B6AC9" w:rsidP="004B6AC9">
      <w:pPr>
        <w:pStyle w:val="Sarakstarindkopa"/>
        <w:numPr>
          <w:ilvl w:val="0"/>
          <w:numId w:val="13"/>
        </w:numPr>
        <w:spacing w:line="240" w:lineRule="auto"/>
        <w:rPr>
          <w:rFonts w:ascii="Times New Roman" w:hAnsi="Times New Roman" w:cs="Times New Roman"/>
          <w:lang w:val="en-GB"/>
        </w:rPr>
      </w:pPr>
      <w:r w:rsidRPr="007504E6">
        <w:rPr>
          <w:rFonts w:ascii="Times New Roman" w:hAnsi="Times New Roman" w:cs="Times New Roman"/>
          <w:lang w:val="en-GB"/>
        </w:rPr>
        <w:t>Cost changes are considered as construction cost indices (BII), according to the terminology used by the CSB</w:t>
      </w:r>
      <w:r w:rsidR="00D64C5F" w:rsidRPr="007504E6">
        <w:rPr>
          <w:rFonts w:ascii="Times New Roman" w:hAnsi="Times New Roman" w:cs="Times New Roman"/>
          <w:lang w:val="en-GB"/>
        </w:rPr>
        <w:t>.</w:t>
      </w:r>
    </w:p>
    <w:p w14:paraId="508C0974" w14:textId="77777777" w:rsidR="00D64C5F" w:rsidRPr="007504E6" w:rsidRDefault="00D64C5F" w:rsidP="00D64C5F">
      <w:pPr>
        <w:spacing w:line="240" w:lineRule="auto"/>
        <w:rPr>
          <w:rFonts w:ascii="Times New Roman" w:hAnsi="Times New Roman" w:cs="Times New Roman"/>
          <w:lang w:val="en-GB"/>
        </w:rPr>
      </w:pPr>
    </w:p>
    <w:p w14:paraId="275377FD" w14:textId="7DC74615" w:rsidR="00D64C5F" w:rsidRPr="007504E6" w:rsidRDefault="00EA111A" w:rsidP="00D64210">
      <w:pPr>
        <w:pStyle w:val="Virsraksts2"/>
        <w:numPr>
          <w:ilvl w:val="1"/>
          <w:numId w:val="5"/>
        </w:numPr>
        <w:rPr>
          <w:rFonts w:ascii="Times New Roman" w:hAnsi="Times New Roman" w:cs="Times New Roman"/>
          <w:b/>
          <w:bCs/>
          <w:color w:val="262626" w:themeColor="text1" w:themeTint="D9"/>
          <w:lang w:val="en-GB"/>
        </w:rPr>
      </w:pPr>
      <w:bookmarkStart w:id="17" w:name="_Toc77714123"/>
      <w:r w:rsidRPr="007504E6">
        <w:rPr>
          <w:rFonts w:ascii="Times New Roman" w:hAnsi="Times New Roman" w:cs="Times New Roman"/>
          <w:b/>
          <w:bCs/>
          <w:color w:val="262626" w:themeColor="text1" w:themeTint="D9"/>
          <w:lang w:val="en-GB"/>
        </w:rPr>
        <w:t>Obtaining data characterizing changes in construction costs</w:t>
      </w:r>
      <w:bookmarkEnd w:id="17"/>
    </w:p>
    <w:p w14:paraId="482EFE60" w14:textId="77777777" w:rsidR="00D64C5F" w:rsidRPr="007504E6" w:rsidRDefault="00D64C5F" w:rsidP="00D64C5F">
      <w:pPr>
        <w:spacing w:line="240" w:lineRule="auto"/>
        <w:rPr>
          <w:rFonts w:ascii="Times New Roman" w:hAnsi="Times New Roman" w:cs="Times New Roman"/>
          <w:lang w:val="en-GB"/>
        </w:rPr>
      </w:pPr>
    </w:p>
    <w:p w14:paraId="197D5216" w14:textId="77777777" w:rsidR="00F07916" w:rsidRPr="007504E6" w:rsidRDefault="00F07916" w:rsidP="00F07916">
      <w:pPr>
        <w:spacing w:line="240" w:lineRule="auto"/>
        <w:ind w:firstLine="0"/>
        <w:rPr>
          <w:rFonts w:ascii="Times New Roman" w:hAnsi="Times New Roman" w:cs="Times New Roman"/>
          <w:lang w:val="en-GB"/>
        </w:rPr>
      </w:pPr>
      <w:bookmarkStart w:id="18" w:name="_Hlk522724654"/>
      <w:r w:rsidRPr="007504E6">
        <w:rPr>
          <w:rFonts w:ascii="Times New Roman" w:hAnsi="Times New Roman" w:cs="Times New Roman"/>
          <w:lang w:val="en-GB"/>
        </w:rPr>
        <w:t>The research data set will consist of statistical data obtained using the statistical information available in the CSB database on changes in construction industry costs, incl. by sub-sectors and types of resources, as well as expert assessments obtained from experts of the researched sub-sectors. Within the framework of expert interviews, the factors influencing changes in construction costs, the level of their impact, and expert assessments of price change trends were identified. For the identified factors that can be quantified, the series of dynamics with their previous development were retrieved.</w:t>
      </w:r>
    </w:p>
    <w:p w14:paraId="77C2E364" w14:textId="77777777" w:rsidR="00F07916" w:rsidRPr="007504E6" w:rsidRDefault="00F07916" w:rsidP="00F07916">
      <w:pPr>
        <w:spacing w:line="240" w:lineRule="auto"/>
        <w:rPr>
          <w:rFonts w:ascii="Times New Roman" w:hAnsi="Times New Roman" w:cs="Times New Roman"/>
          <w:lang w:val="en-GB"/>
        </w:rPr>
      </w:pPr>
    </w:p>
    <w:p w14:paraId="5EAE402B" w14:textId="0A9A6586" w:rsidR="00D64C5F" w:rsidRPr="007504E6" w:rsidRDefault="00F07916" w:rsidP="00F07916">
      <w:pPr>
        <w:spacing w:line="240" w:lineRule="auto"/>
        <w:ind w:firstLine="0"/>
        <w:rPr>
          <w:rFonts w:ascii="Times New Roman" w:hAnsi="Times New Roman" w:cs="Times New Roman"/>
          <w:lang w:val="en-GB"/>
        </w:rPr>
      </w:pPr>
      <w:r w:rsidRPr="007504E6">
        <w:rPr>
          <w:rFonts w:ascii="Times New Roman" w:hAnsi="Times New Roman" w:cs="Times New Roman"/>
          <w:lang w:val="en-GB"/>
        </w:rPr>
        <w:t>The developed cost change methodology is intended for forecasting the main trends, it includes the use of both statistical and expert methods, combination of methods</w:t>
      </w:r>
      <w:r w:rsidR="00D64C5F" w:rsidRPr="007504E6">
        <w:rPr>
          <w:rFonts w:ascii="Times New Roman" w:hAnsi="Times New Roman" w:cs="Times New Roman"/>
          <w:lang w:val="en-GB"/>
        </w:rPr>
        <w:t>.</w:t>
      </w:r>
    </w:p>
    <w:bookmarkEnd w:id="18"/>
    <w:p w14:paraId="5DE0A456" w14:textId="77777777" w:rsidR="00D64C5F" w:rsidRPr="007504E6" w:rsidRDefault="00D64C5F" w:rsidP="00D64C5F">
      <w:pPr>
        <w:spacing w:line="240" w:lineRule="auto"/>
        <w:rPr>
          <w:rFonts w:ascii="Times New Roman" w:hAnsi="Times New Roman" w:cs="Times New Roman"/>
          <w:lang w:val="en-GB"/>
        </w:rPr>
      </w:pPr>
    </w:p>
    <w:p w14:paraId="0E0D549B" w14:textId="1E8CDD89" w:rsidR="00D64C5F" w:rsidRPr="007504E6" w:rsidRDefault="00F07916" w:rsidP="0054030B">
      <w:pPr>
        <w:pStyle w:val="Virsraksts3"/>
        <w:rPr>
          <w:rFonts w:ascii="Times New Roman" w:hAnsi="Times New Roman" w:cs="Times New Roman"/>
          <w:lang w:val="en-GB"/>
        </w:rPr>
      </w:pPr>
      <w:r w:rsidRPr="007504E6">
        <w:rPr>
          <w:rFonts w:ascii="Times New Roman" w:hAnsi="Times New Roman" w:cs="Times New Roman"/>
          <w:lang w:val="en-GB"/>
        </w:rPr>
        <w:t>Statistical data</w:t>
      </w:r>
    </w:p>
    <w:p w14:paraId="5DEAE9ED" w14:textId="77777777" w:rsidR="00F07916" w:rsidRPr="007504E6" w:rsidRDefault="00F07916" w:rsidP="00F07916">
      <w:pPr>
        <w:spacing w:line="240" w:lineRule="auto"/>
        <w:ind w:firstLine="0"/>
        <w:rPr>
          <w:rFonts w:ascii="Times New Roman" w:hAnsi="Times New Roman" w:cs="Times New Roman"/>
          <w:lang w:val="en-GB"/>
        </w:rPr>
      </w:pPr>
      <w:r w:rsidRPr="007504E6">
        <w:rPr>
          <w:rFonts w:ascii="Times New Roman" w:hAnsi="Times New Roman" w:cs="Times New Roman"/>
          <w:lang w:val="en-GB"/>
        </w:rPr>
        <w:t>The set of statistical data consists of the listed statistical data, which characterize the nature of changes in construction costs in Latvia. The study used indicators compiled by the CSB, which correspond to the researched indicator, called BII - Construction Cost Index. These indices were used both to study the changes in total construction prices and to study the changes by resource types and by groups of objects in the sections where such data exist.</w:t>
      </w:r>
    </w:p>
    <w:p w14:paraId="181D2050" w14:textId="77777777" w:rsidR="00F07916" w:rsidRPr="007504E6" w:rsidRDefault="00F07916" w:rsidP="00F07916">
      <w:pPr>
        <w:spacing w:line="240" w:lineRule="auto"/>
        <w:ind w:firstLine="0"/>
        <w:rPr>
          <w:rFonts w:ascii="Times New Roman" w:hAnsi="Times New Roman" w:cs="Times New Roman"/>
          <w:lang w:val="en-GB"/>
        </w:rPr>
      </w:pPr>
    </w:p>
    <w:p w14:paraId="6F19F28A" w14:textId="306D502A" w:rsidR="00D64C5F" w:rsidRPr="007504E6" w:rsidRDefault="00F07916" w:rsidP="00F07916">
      <w:pPr>
        <w:spacing w:line="240" w:lineRule="auto"/>
        <w:ind w:firstLine="0"/>
        <w:rPr>
          <w:rFonts w:ascii="Times New Roman" w:hAnsi="Times New Roman" w:cs="Times New Roman"/>
          <w:lang w:val="en-GB"/>
        </w:rPr>
      </w:pPr>
      <w:r w:rsidRPr="007504E6">
        <w:rPr>
          <w:rFonts w:ascii="Times New Roman" w:hAnsi="Times New Roman" w:cs="Times New Roman"/>
          <w:lang w:val="en-GB"/>
        </w:rPr>
        <w:t>The groups of objects to be considered, based on the information collected in the national statistics, are</w:t>
      </w:r>
      <w:r w:rsidR="00D64C5F" w:rsidRPr="007504E6">
        <w:rPr>
          <w:rFonts w:ascii="Times New Roman" w:hAnsi="Times New Roman" w:cs="Times New Roman"/>
          <w:lang w:val="en-GB"/>
        </w:rPr>
        <w:t>:</w:t>
      </w:r>
    </w:p>
    <w:p w14:paraId="1A8E617A" w14:textId="77777777" w:rsidR="00BB3CB6" w:rsidRPr="007504E6" w:rsidRDefault="00BB3CB6" w:rsidP="00BB3CB6">
      <w:pPr>
        <w:spacing w:line="240" w:lineRule="auto"/>
        <w:ind w:firstLine="0"/>
        <w:rPr>
          <w:rFonts w:ascii="Times New Roman" w:hAnsi="Times New Roman" w:cs="Times New Roman"/>
          <w:lang w:val="en-GB"/>
        </w:rPr>
      </w:pPr>
    </w:p>
    <w:p w14:paraId="7A5554A8" w14:textId="5DE87A6A" w:rsidR="00A23086" w:rsidRPr="007504E6" w:rsidRDefault="00A23086" w:rsidP="00A23086">
      <w:pPr>
        <w:pStyle w:val="Sarakstarindkopa"/>
        <w:numPr>
          <w:ilvl w:val="0"/>
          <w:numId w:val="14"/>
        </w:numPr>
        <w:spacing w:line="240" w:lineRule="auto"/>
        <w:rPr>
          <w:rFonts w:ascii="Times New Roman" w:hAnsi="Times New Roman" w:cs="Times New Roman"/>
          <w:lang w:val="en-GB"/>
        </w:rPr>
      </w:pPr>
      <w:r w:rsidRPr="007504E6">
        <w:rPr>
          <w:rFonts w:ascii="Times New Roman" w:hAnsi="Times New Roman" w:cs="Times New Roman"/>
          <w:lang w:val="en-GB"/>
        </w:rPr>
        <w:t>Residential buildings;</w:t>
      </w:r>
    </w:p>
    <w:p w14:paraId="369D97E9" w14:textId="5DA6F7C8" w:rsidR="00A23086" w:rsidRPr="007504E6" w:rsidRDefault="00A23086" w:rsidP="00A23086">
      <w:pPr>
        <w:pStyle w:val="Sarakstarindkopa"/>
        <w:numPr>
          <w:ilvl w:val="0"/>
          <w:numId w:val="14"/>
        </w:numPr>
        <w:spacing w:line="240" w:lineRule="auto"/>
        <w:rPr>
          <w:rFonts w:ascii="Times New Roman" w:hAnsi="Times New Roman" w:cs="Times New Roman"/>
          <w:lang w:val="en-GB"/>
        </w:rPr>
      </w:pPr>
      <w:r w:rsidRPr="007504E6">
        <w:rPr>
          <w:rFonts w:ascii="Times New Roman" w:hAnsi="Times New Roman" w:cs="Times New Roman"/>
          <w:lang w:val="en-GB"/>
        </w:rPr>
        <w:t>Non-residential buildings;</w:t>
      </w:r>
    </w:p>
    <w:p w14:paraId="56D98841" w14:textId="36CA4DB7" w:rsidR="00A23086" w:rsidRPr="007504E6" w:rsidRDefault="00A23086" w:rsidP="00A23086">
      <w:pPr>
        <w:pStyle w:val="Sarakstarindkopa"/>
        <w:numPr>
          <w:ilvl w:val="0"/>
          <w:numId w:val="14"/>
        </w:numPr>
        <w:spacing w:line="240" w:lineRule="auto"/>
        <w:rPr>
          <w:rFonts w:ascii="Times New Roman" w:hAnsi="Times New Roman" w:cs="Times New Roman"/>
          <w:lang w:val="en-GB"/>
        </w:rPr>
      </w:pPr>
      <w:r w:rsidRPr="007504E6">
        <w:rPr>
          <w:rFonts w:ascii="Times New Roman" w:hAnsi="Times New Roman" w:cs="Times New Roman"/>
          <w:lang w:val="en-GB"/>
        </w:rPr>
        <w:t>Transport objects;</w:t>
      </w:r>
    </w:p>
    <w:p w14:paraId="28FAE24C" w14:textId="53750AC2" w:rsidR="00D64C5F" w:rsidRPr="007504E6" w:rsidRDefault="00A23086" w:rsidP="00A23086">
      <w:pPr>
        <w:pStyle w:val="Sarakstarindkopa"/>
        <w:numPr>
          <w:ilvl w:val="0"/>
          <w:numId w:val="14"/>
        </w:numPr>
        <w:spacing w:line="240" w:lineRule="auto"/>
        <w:rPr>
          <w:rFonts w:ascii="Times New Roman" w:hAnsi="Times New Roman" w:cs="Times New Roman"/>
          <w:lang w:val="en-GB"/>
        </w:rPr>
      </w:pPr>
      <w:r w:rsidRPr="007504E6">
        <w:rPr>
          <w:rFonts w:ascii="Times New Roman" w:hAnsi="Times New Roman" w:cs="Times New Roman"/>
          <w:lang w:val="en-GB"/>
        </w:rPr>
        <w:t>Urban infrastructure objects</w:t>
      </w:r>
      <w:r w:rsidR="00D64C5F" w:rsidRPr="007504E6">
        <w:rPr>
          <w:rFonts w:ascii="Times New Roman" w:hAnsi="Times New Roman" w:cs="Times New Roman"/>
          <w:lang w:val="en-GB"/>
        </w:rPr>
        <w:t>.</w:t>
      </w:r>
    </w:p>
    <w:p w14:paraId="1024C6D1" w14:textId="77777777" w:rsidR="00BB3CB6" w:rsidRPr="007504E6" w:rsidRDefault="00BB3CB6" w:rsidP="00BB3CB6">
      <w:pPr>
        <w:spacing w:line="240" w:lineRule="auto"/>
        <w:ind w:firstLine="0"/>
        <w:rPr>
          <w:rFonts w:ascii="Times New Roman" w:hAnsi="Times New Roman" w:cs="Times New Roman"/>
          <w:lang w:val="en-GB"/>
        </w:rPr>
      </w:pPr>
    </w:p>
    <w:p w14:paraId="3BC84B89" w14:textId="17339699" w:rsidR="00D64C5F" w:rsidRPr="007504E6" w:rsidRDefault="00DC2B19" w:rsidP="00BB3CB6">
      <w:pPr>
        <w:spacing w:line="240" w:lineRule="auto"/>
        <w:ind w:firstLine="0"/>
        <w:rPr>
          <w:rFonts w:ascii="Times New Roman" w:hAnsi="Times New Roman" w:cs="Times New Roman"/>
          <w:lang w:val="en-GB"/>
        </w:rPr>
      </w:pPr>
      <w:r w:rsidRPr="007504E6">
        <w:rPr>
          <w:lang w:val="en-GB"/>
        </w:rPr>
        <w:t>Statistical information by type of resources was used</w:t>
      </w:r>
      <w:r w:rsidR="00D64C5F" w:rsidRPr="007504E6">
        <w:rPr>
          <w:rFonts w:ascii="Times New Roman" w:hAnsi="Times New Roman" w:cs="Times New Roman"/>
          <w:lang w:val="en-GB"/>
        </w:rPr>
        <w:t>:</w:t>
      </w:r>
    </w:p>
    <w:p w14:paraId="66466E12" w14:textId="77777777" w:rsidR="00BB3CB6" w:rsidRPr="007504E6" w:rsidRDefault="00BB3CB6" w:rsidP="00BB3CB6">
      <w:pPr>
        <w:spacing w:line="240" w:lineRule="auto"/>
        <w:ind w:firstLine="0"/>
        <w:rPr>
          <w:rFonts w:ascii="Times New Roman" w:hAnsi="Times New Roman" w:cs="Times New Roman"/>
          <w:lang w:val="en-GB"/>
        </w:rPr>
      </w:pPr>
    </w:p>
    <w:p w14:paraId="0746DA4E" w14:textId="77777777" w:rsidR="00845FD4" w:rsidRPr="007504E6" w:rsidRDefault="00845FD4" w:rsidP="00845FD4">
      <w:pPr>
        <w:pStyle w:val="Sarakstarindkopa"/>
        <w:numPr>
          <w:ilvl w:val="0"/>
          <w:numId w:val="15"/>
        </w:numPr>
        <w:spacing w:line="240" w:lineRule="auto"/>
        <w:rPr>
          <w:rFonts w:ascii="Times New Roman" w:hAnsi="Times New Roman" w:cs="Times New Roman"/>
          <w:lang w:val="en-GB"/>
        </w:rPr>
      </w:pPr>
      <w:r w:rsidRPr="007504E6">
        <w:rPr>
          <w:rFonts w:ascii="Times New Roman" w:hAnsi="Times New Roman" w:cs="Times New Roman"/>
          <w:lang w:val="en-GB"/>
        </w:rPr>
        <w:t>construction materials,</w:t>
      </w:r>
    </w:p>
    <w:p w14:paraId="4431A060" w14:textId="77777777" w:rsidR="00845FD4" w:rsidRPr="007504E6" w:rsidRDefault="00845FD4" w:rsidP="00845FD4">
      <w:pPr>
        <w:pStyle w:val="Sarakstarindkopa"/>
        <w:numPr>
          <w:ilvl w:val="0"/>
          <w:numId w:val="15"/>
        </w:numPr>
        <w:spacing w:line="240" w:lineRule="auto"/>
        <w:rPr>
          <w:rFonts w:ascii="Times New Roman" w:hAnsi="Times New Roman" w:cs="Times New Roman"/>
          <w:lang w:val="en-GB"/>
        </w:rPr>
      </w:pPr>
      <w:r w:rsidRPr="007504E6">
        <w:rPr>
          <w:rFonts w:ascii="Times New Roman" w:hAnsi="Times New Roman" w:cs="Times New Roman"/>
          <w:lang w:val="en-GB"/>
        </w:rPr>
        <w:t>workers' wages,</w:t>
      </w:r>
    </w:p>
    <w:p w14:paraId="3EE26C00" w14:textId="77777777" w:rsidR="00845FD4" w:rsidRPr="007504E6" w:rsidRDefault="00845FD4" w:rsidP="00845FD4">
      <w:pPr>
        <w:pStyle w:val="Sarakstarindkopa"/>
        <w:numPr>
          <w:ilvl w:val="0"/>
          <w:numId w:val="15"/>
        </w:numPr>
        <w:spacing w:line="240" w:lineRule="auto"/>
        <w:rPr>
          <w:rFonts w:ascii="Times New Roman" w:hAnsi="Times New Roman" w:cs="Times New Roman"/>
          <w:lang w:val="en-GB"/>
        </w:rPr>
      </w:pPr>
      <w:r w:rsidRPr="007504E6">
        <w:rPr>
          <w:rFonts w:ascii="Times New Roman" w:hAnsi="Times New Roman" w:cs="Times New Roman"/>
          <w:lang w:val="en-GB"/>
        </w:rPr>
        <w:t>costs for maintenance and operation of machinery and equipment,</w:t>
      </w:r>
    </w:p>
    <w:p w14:paraId="5C0D34EA" w14:textId="0F560FC6" w:rsidR="00D64C5F" w:rsidRPr="007504E6" w:rsidRDefault="00845FD4" w:rsidP="00845FD4">
      <w:pPr>
        <w:pStyle w:val="Sarakstarindkopa"/>
        <w:numPr>
          <w:ilvl w:val="0"/>
          <w:numId w:val="15"/>
        </w:numPr>
        <w:spacing w:line="240" w:lineRule="auto"/>
        <w:rPr>
          <w:rFonts w:ascii="Times New Roman" w:hAnsi="Times New Roman" w:cs="Times New Roman"/>
          <w:lang w:val="en-GB"/>
        </w:rPr>
      </w:pPr>
      <w:r w:rsidRPr="007504E6">
        <w:rPr>
          <w:rFonts w:ascii="Times New Roman" w:hAnsi="Times New Roman" w:cs="Times New Roman"/>
          <w:lang w:val="en-GB"/>
        </w:rPr>
        <w:t>architectural and engineering services; technical testing and analysis</w:t>
      </w:r>
      <w:r w:rsidR="00D64C5F" w:rsidRPr="007504E6">
        <w:rPr>
          <w:rFonts w:ascii="Times New Roman" w:hAnsi="Times New Roman" w:cs="Times New Roman"/>
          <w:lang w:val="en-GB"/>
        </w:rPr>
        <w:t>.</w:t>
      </w:r>
    </w:p>
    <w:p w14:paraId="2080ED14" w14:textId="77777777" w:rsidR="00BB3CB6" w:rsidRPr="007504E6" w:rsidRDefault="00BB3CB6" w:rsidP="00BB3CB6">
      <w:pPr>
        <w:spacing w:line="240" w:lineRule="auto"/>
        <w:ind w:firstLine="0"/>
        <w:rPr>
          <w:rFonts w:ascii="Times New Roman" w:hAnsi="Times New Roman" w:cs="Times New Roman"/>
          <w:lang w:val="en-GB"/>
        </w:rPr>
      </w:pPr>
    </w:p>
    <w:p w14:paraId="01B3D059" w14:textId="676BAC6C" w:rsidR="00D64C5F" w:rsidRPr="007504E6" w:rsidRDefault="00344739" w:rsidP="00BB3CB6">
      <w:pPr>
        <w:spacing w:line="240" w:lineRule="auto"/>
        <w:ind w:firstLine="0"/>
        <w:rPr>
          <w:rFonts w:ascii="Times New Roman" w:hAnsi="Times New Roman" w:cs="Times New Roman"/>
          <w:lang w:val="en-GB"/>
        </w:rPr>
      </w:pPr>
      <w:r w:rsidRPr="007504E6">
        <w:rPr>
          <w:rFonts w:ascii="Times New Roman" w:hAnsi="Times New Roman" w:cs="Times New Roman"/>
          <w:lang w:val="en-GB"/>
        </w:rPr>
        <w:t xml:space="preserve">The codes of the statistical information to be used according to the CSB classification, names and units of measurement in which they are listed are summarized in Table </w:t>
      </w:r>
      <w:r w:rsidR="007B7C15" w:rsidRPr="007504E6">
        <w:rPr>
          <w:rFonts w:ascii="Times New Roman" w:hAnsi="Times New Roman" w:cs="Times New Roman"/>
          <w:lang w:val="en-GB"/>
        </w:rPr>
        <w:t>1.</w:t>
      </w:r>
    </w:p>
    <w:p w14:paraId="6A4CA9EA" w14:textId="1A04A0EA" w:rsidR="00D64C5F" w:rsidRPr="007504E6" w:rsidRDefault="00E26D27" w:rsidP="00D64C5F">
      <w:pPr>
        <w:pStyle w:val="Parakstszemobjekta"/>
        <w:keepNext/>
        <w:spacing w:after="0"/>
        <w:jc w:val="right"/>
        <w:rPr>
          <w:rFonts w:ascii="Times New Roman" w:hAnsi="Times New Roman" w:cs="Times New Roman"/>
          <w:lang w:val="en-GB"/>
        </w:rPr>
      </w:pPr>
      <w:bookmarkStart w:id="19" w:name="_Ref522227461"/>
      <w:bookmarkStart w:id="20" w:name="_Ref522227453"/>
      <w:r w:rsidRPr="007504E6">
        <w:rPr>
          <w:rFonts w:ascii="Times New Roman" w:hAnsi="Times New Roman" w:cs="Times New Roman"/>
          <w:lang w:val="en-GB"/>
        </w:rPr>
        <w:t>Table</w:t>
      </w:r>
      <w:r w:rsidR="00D64C5F" w:rsidRPr="007504E6">
        <w:rPr>
          <w:rFonts w:ascii="Times New Roman" w:hAnsi="Times New Roman" w:cs="Times New Roman"/>
          <w:lang w:val="en-GB"/>
        </w:rPr>
        <w:t xml:space="preserve"> </w:t>
      </w:r>
      <w:bookmarkEnd w:id="19"/>
      <w:r w:rsidR="001B0C98" w:rsidRPr="007504E6">
        <w:rPr>
          <w:rFonts w:ascii="Times New Roman" w:hAnsi="Times New Roman" w:cs="Times New Roman"/>
          <w:lang w:val="en-GB"/>
        </w:rPr>
        <w:t>1</w:t>
      </w:r>
      <w:r w:rsidR="00D64C5F" w:rsidRPr="007504E6">
        <w:rPr>
          <w:rFonts w:ascii="Times New Roman" w:hAnsi="Times New Roman" w:cs="Times New Roman"/>
          <w:lang w:val="en-GB"/>
        </w:rPr>
        <w:t>.</w:t>
      </w:r>
    </w:p>
    <w:p w14:paraId="1A1F7012" w14:textId="3BC80DAE" w:rsidR="00D64C5F" w:rsidRPr="007504E6" w:rsidRDefault="00D64C5F" w:rsidP="00D64C5F">
      <w:pPr>
        <w:pStyle w:val="Parakstszemobjekta"/>
        <w:keepNext/>
        <w:spacing w:after="0"/>
        <w:jc w:val="right"/>
        <w:rPr>
          <w:rFonts w:ascii="Times New Roman" w:hAnsi="Times New Roman" w:cs="Times New Roman"/>
          <w:lang w:val="en-GB"/>
        </w:rPr>
      </w:pPr>
      <w:r w:rsidRPr="007504E6">
        <w:rPr>
          <w:rFonts w:ascii="Times New Roman" w:hAnsi="Times New Roman" w:cs="Times New Roman"/>
          <w:lang w:val="en-GB"/>
        </w:rPr>
        <w:t xml:space="preserve"> </w:t>
      </w:r>
      <w:bookmarkEnd w:id="20"/>
      <w:r w:rsidR="0060038E" w:rsidRPr="007504E6">
        <w:rPr>
          <w:rFonts w:ascii="Times New Roman" w:hAnsi="Times New Roman" w:cs="Times New Roman"/>
          <w:lang w:val="en-GB"/>
        </w:rPr>
        <w:t>Data tables to be used, their names and data accounting units</w:t>
      </w:r>
      <w:r w:rsidRPr="007504E6">
        <w:rPr>
          <w:rFonts w:ascii="Times New Roman" w:hAnsi="Times New Roman" w:cs="Times New Roman"/>
          <w:lang w:val="en-GB"/>
        </w:rPr>
        <w:t>.</w:t>
      </w:r>
    </w:p>
    <w:tbl>
      <w:tblPr>
        <w:tblStyle w:val="ListTable4-Accent31"/>
        <w:tblW w:w="9028" w:type="dxa"/>
        <w:tblLook w:val="06A0" w:firstRow="1" w:lastRow="0" w:firstColumn="1" w:lastColumn="0" w:noHBand="1" w:noVBand="1"/>
      </w:tblPr>
      <w:tblGrid>
        <w:gridCol w:w="1070"/>
        <w:gridCol w:w="3979"/>
        <w:gridCol w:w="3979"/>
      </w:tblGrid>
      <w:tr w:rsidR="0096038B" w:rsidRPr="007504E6" w14:paraId="6352BCC6" w14:textId="77777777" w:rsidTr="00431C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431B28E6" w14:textId="77777777" w:rsidR="0096038B" w:rsidRPr="007504E6" w:rsidRDefault="0096038B" w:rsidP="0096038B">
            <w:pPr>
              <w:spacing w:line="240" w:lineRule="auto"/>
              <w:ind w:firstLine="0"/>
              <w:rPr>
                <w:rFonts w:ascii="Times New Roman" w:hAnsi="Times New Roman" w:cs="Times New Roman"/>
                <w:lang w:val="en-GB"/>
              </w:rPr>
            </w:pPr>
          </w:p>
        </w:tc>
        <w:tc>
          <w:tcPr>
            <w:tcW w:w="3979" w:type="dxa"/>
          </w:tcPr>
          <w:p w14:paraId="03FCC88A" w14:textId="4D0EA77C" w:rsidR="0096038B" w:rsidRPr="007504E6" w:rsidRDefault="0096038B" w:rsidP="0096038B">
            <w:pPr>
              <w:spacing w:line="240" w:lineRule="auto"/>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lang w:val="en-GB"/>
              </w:rPr>
              <w:t>Name</w:t>
            </w:r>
          </w:p>
        </w:tc>
        <w:tc>
          <w:tcPr>
            <w:tcW w:w="3979" w:type="dxa"/>
          </w:tcPr>
          <w:p w14:paraId="13A60677" w14:textId="0C99F58B" w:rsidR="0096038B" w:rsidRPr="007504E6" w:rsidRDefault="0096038B" w:rsidP="0096038B">
            <w:pPr>
              <w:spacing w:line="240" w:lineRule="auto"/>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lang w:val="en-GB"/>
              </w:rPr>
              <w:t>Unit of measurement</w:t>
            </w:r>
          </w:p>
        </w:tc>
      </w:tr>
      <w:tr w:rsidR="007B7C15" w:rsidRPr="007504E6" w14:paraId="40683019"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7820E4F2" w14:textId="769CC665" w:rsidR="007B7C15" w:rsidRPr="007504E6" w:rsidRDefault="007B7C15" w:rsidP="007B7C15">
            <w:pPr>
              <w:spacing w:line="240" w:lineRule="auto"/>
              <w:ind w:firstLine="0"/>
              <w:rPr>
                <w:rFonts w:ascii="Times New Roman" w:hAnsi="Times New Roman" w:cs="Times New Roman"/>
                <w:lang w:val="en-GB"/>
              </w:rPr>
            </w:pPr>
            <w:r w:rsidRPr="007504E6">
              <w:rPr>
                <w:lang w:val="en-GB"/>
              </w:rPr>
              <w:t>RCG01</w:t>
            </w:r>
          </w:p>
        </w:tc>
        <w:tc>
          <w:tcPr>
            <w:tcW w:w="3979" w:type="dxa"/>
          </w:tcPr>
          <w:p w14:paraId="20FC2322" w14:textId="37AB161E" w:rsidR="007B7C15" w:rsidRPr="007504E6" w:rsidRDefault="007B7C15" w:rsidP="007B7C15">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lang w:val="en-GB"/>
              </w:rPr>
              <w:t>Price indices, Construction cost index</w:t>
            </w:r>
          </w:p>
        </w:tc>
        <w:tc>
          <w:tcPr>
            <w:tcW w:w="3979" w:type="dxa"/>
          </w:tcPr>
          <w:p w14:paraId="03DC95B7" w14:textId="6E978AAE" w:rsidR="007B7C15" w:rsidRPr="007504E6" w:rsidRDefault="007B7C15" w:rsidP="007B7C15">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lang w:val="en-GB"/>
              </w:rPr>
              <w:t>Index against the base period</w:t>
            </w:r>
          </w:p>
        </w:tc>
      </w:tr>
      <w:tr w:rsidR="007B7C15" w:rsidRPr="007504E6" w14:paraId="65569FB1"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780A05C5" w14:textId="6E23D61A" w:rsidR="007B7C15" w:rsidRPr="007504E6" w:rsidRDefault="007B7C15" w:rsidP="007B7C15">
            <w:pPr>
              <w:spacing w:line="240" w:lineRule="auto"/>
              <w:ind w:firstLine="0"/>
              <w:rPr>
                <w:rFonts w:ascii="Times New Roman" w:hAnsi="Times New Roman" w:cs="Times New Roman"/>
                <w:lang w:val="en-GB"/>
              </w:rPr>
            </w:pPr>
            <w:r w:rsidRPr="007504E6">
              <w:rPr>
                <w:lang w:val="en-GB"/>
              </w:rPr>
              <w:t>RCG04</w:t>
            </w:r>
          </w:p>
        </w:tc>
        <w:tc>
          <w:tcPr>
            <w:tcW w:w="3979" w:type="dxa"/>
          </w:tcPr>
          <w:p w14:paraId="338C5CD7" w14:textId="0845ED10" w:rsidR="007B7C15" w:rsidRPr="007504E6" w:rsidRDefault="007B7C15" w:rsidP="007B7C15">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lang w:val="en-GB"/>
              </w:rPr>
              <w:t>Business service price indices</w:t>
            </w:r>
          </w:p>
        </w:tc>
        <w:tc>
          <w:tcPr>
            <w:tcW w:w="3979" w:type="dxa"/>
          </w:tcPr>
          <w:p w14:paraId="2AD26AC4" w14:textId="1EF09525" w:rsidR="007B7C15" w:rsidRPr="007504E6" w:rsidRDefault="007B7C15" w:rsidP="007B7C15">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lang w:val="en-GB"/>
              </w:rPr>
              <w:t>Index against the base period</w:t>
            </w:r>
          </w:p>
        </w:tc>
      </w:tr>
      <w:tr w:rsidR="007B7C15" w:rsidRPr="007504E6" w14:paraId="3CF15E12"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473935DF" w14:textId="3AB982BB" w:rsidR="007B7C15" w:rsidRPr="007504E6" w:rsidRDefault="007B7C15" w:rsidP="007B7C15">
            <w:pPr>
              <w:spacing w:line="240" w:lineRule="auto"/>
              <w:ind w:firstLine="0"/>
              <w:rPr>
                <w:rFonts w:ascii="Times New Roman" w:hAnsi="Times New Roman" w:cs="Times New Roman"/>
                <w:lang w:val="en-GB"/>
              </w:rPr>
            </w:pPr>
            <w:r w:rsidRPr="007504E6">
              <w:rPr>
                <w:lang w:val="en-GB"/>
              </w:rPr>
              <w:t>RCG06</w:t>
            </w:r>
          </w:p>
        </w:tc>
        <w:tc>
          <w:tcPr>
            <w:tcW w:w="3979" w:type="dxa"/>
          </w:tcPr>
          <w:p w14:paraId="78D48D6A" w14:textId="1A3441CB" w:rsidR="007B7C15" w:rsidRPr="007504E6" w:rsidRDefault="007B7C15" w:rsidP="007B7C15">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lang w:val="en-GB"/>
              </w:rPr>
              <w:t>Construction cost indices by type of resources</w:t>
            </w:r>
          </w:p>
        </w:tc>
        <w:tc>
          <w:tcPr>
            <w:tcW w:w="3979" w:type="dxa"/>
          </w:tcPr>
          <w:p w14:paraId="068026D5" w14:textId="77777777" w:rsidR="007B7C15" w:rsidRPr="007504E6" w:rsidRDefault="007B7C15" w:rsidP="007B7C15">
            <w:pPr>
              <w:pStyle w:val="Bezatstarpm"/>
              <w:ind w:firstLine="0"/>
              <w:cnfStyle w:val="000000000000" w:firstRow="0" w:lastRow="0" w:firstColumn="0" w:lastColumn="0" w:oddVBand="0" w:evenVBand="0" w:oddHBand="0" w:evenHBand="0" w:firstRowFirstColumn="0" w:firstRowLastColumn="0" w:lastRowFirstColumn="0" w:lastRowLastColumn="0"/>
              <w:rPr>
                <w:lang w:val="en-GB"/>
              </w:rPr>
            </w:pPr>
            <w:r w:rsidRPr="007504E6">
              <w:rPr>
                <w:lang w:val="en-GB"/>
              </w:rPr>
              <w:t>Index against the base period</w:t>
            </w:r>
          </w:p>
          <w:p w14:paraId="0D4220CF" w14:textId="7D5E6150" w:rsidR="007B7C15" w:rsidRPr="007504E6" w:rsidRDefault="007B7C15" w:rsidP="007B7C15">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lang w:val="en-GB"/>
              </w:rPr>
              <w:t>As a percentage of the previous year</w:t>
            </w:r>
          </w:p>
        </w:tc>
      </w:tr>
      <w:tr w:rsidR="007B7C15" w:rsidRPr="007504E6" w14:paraId="1542EA6E"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12B2AD36" w14:textId="235F00AA" w:rsidR="007B7C15" w:rsidRPr="007504E6" w:rsidRDefault="007B7C15" w:rsidP="007B7C15">
            <w:pPr>
              <w:spacing w:line="240" w:lineRule="auto"/>
              <w:ind w:firstLine="0"/>
              <w:rPr>
                <w:rFonts w:ascii="Times New Roman" w:hAnsi="Times New Roman" w:cs="Times New Roman"/>
                <w:lang w:val="en-GB"/>
              </w:rPr>
            </w:pPr>
            <w:r w:rsidRPr="007504E6">
              <w:rPr>
                <w:lang w:val="en-GB"/>
              </w:rPr>
              <w:t>RC061</w:t>
            </w:r>
          </w:p>
        </w:tc>
        <w:tc>
          <w:tcPr>
            <w:tcW w:w="3979" w:type="dxa"/>
          </w:tcPr>
          <w:p w14:paraId="6BABADD5" w14:textId="0C55BBAB" w:rsidR="007B7C15" w:rsidRPr="007504E6" w:rsidRDefault="007B7C15" w:rsidP="007B7C15">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lang w:val="en-GB"/>
              </w:rPr>
              <w:t>Construction cost indices and changes in object groups by months</w:t>
            </w:r>
          </w:p>
        </w:tc>
        <w:tc>
          <w:tcPr>
            <w:tcW w:w="3979" w:type="dxa"/>
          </w:tcPr>
          <w:p w14:paraId="29C901D9" w14:textId="77777777" w:rsidR="007B7C15" w:rsidRPr="007504E6" w:rsidRDefault="007B7C15" w:rsidP="007B7C15">
            <w:pPr>
              <w:pStyle w:val="Bezatstarpm"/>
              <w:ind w:firstLine="0"/>
              <w:cnfStyle w:val="000000000000" w:firstRow="0" w:lastRow="0" w:firstColumn="0" w:lastColumn="0" w:oddVBand="0" w:evenVBand="0" w:oddHBand="0" w:evenHBand="0" w:firstRowFirstColumn="0" w:firstRowLastColumn="0" w:lastRowFirstColumn="0" w:lastRowLastColumn="0"/>
              <w:rPr>
                <w:lang w:val="en-GB"/>
              </w:rPr>
            </w:pPr>
            <w:r w:rsidRPr="007504E6">
              <w:rPr>
                <w:lang w:val="en-GB"/>
              </w:rPr>
              <w:t>Index against the base period</w:t>
            </w:r>
          </w:p>
          <w:p w14:paraId="1F58AA37" w14:textId="77777777" w:rsidR="007B7C15" w:rsidRPr="007504E6" w:rsidRDefault="007B7C15" w:rsidP="007B7C15">
            <w:pPr>
              <w:pStyle w:val="Bezatstarpm"/>
              <w:ind w:firstLine="0"/>
              <w:cnfStyle w:val="000000000000" w:firstRow="0" w:lastRow="0" w:firstColumn="0" w:lastColumn="0" w:oddVBand="0" w:evenVBand="0" w:oddHBand="0" w:evenHBand="0" w:firstRowFirstColumn="0" w:firstRowLastColumn="0" w:lastRowFirstColumn="0" w:lastRowLastColumn="0"/>
              <w:rPr>
                <w:lang w:val="en-GB"/>
              </w:rPr>
            </w:pPr>
            <w:r w:rsidRPr="007504E6">
              <w:rPr>
                <w:lang w:val="en-GB"/>
              </w:rPr>
              <w:t>Change from previous period (%)</w:t>
            </w:r>
          </w:p>
          <w:p w14:paraId="7D67E180" w14:textId="2786C54A" w:rsidR="007B7C15" w:rsidRPr="007504E6" w:rsidRDefault="007B7C15" w:rsidP="007B7C15">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lang w:val="en-GB"/>
              </w:rPr>
              <w:t>Changes compared to the corresponding period of the previous year (%)</w:t>
            </w:r>
          </w:p>
        </w:tc>
      </w:tr>
      <w:tr w:rsidR="007B7C15" w:rsidRPr="007504E6" w14:paraId="2F367BDC"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43284C69" w14:textId="03D646B8" w:rsidR="007B7C15" w:rsidRPr="007504E6" w:rsidRDefault="007B7C15" w:rsidP="007B7C15">
            <w:pPr>
              <w:spacing w:line="240" w:lineRule="auto"/>
              <w:ind w:firstLine="0"/>
              <w:rPr>
                <w:rFonts w:ascii="Times New Roman" w:hAnsi="Times New Roman" w:cs="Times New Roman"/>
                <w:lang w:val="en-GB"/>
              </w:rPr>
            </w:pPr>
            <w:r w:rsidRPr="007504E6">
              <w:rPr>
                <w:lang w:val="en-GB"/>
              </w:rPr>
              <w:t>RC07</w:t>
            </w:r>
          </w:p>
        </w:tc>
        <w:tc>
          <w:tcPr>
            <w:tcW w:w="3979" w:type="dxa"/>
          </w:tcPr>
          <w:p w14:paraId="7C0838CC" w14:textId="622BFDE8" w:rsidR="007B7C15" w:rsidRPr="007504E6" w:rsidRDefault="007B7C15" w:rsidP="007B7C15">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lang w:val="en-GB"/>
              </w:rPr>
              <w:t>Construction cost indices by type of resources by months</w:t>
            </w:r>
          </w:p>
        </w:tc>
        <w:tc>
          <w:tcPr>
            <w:tcW w:w="3979" w:type="dxa"/>
          </w:tcPr>
          <w:p w14:paraId="6277F673" w14:textId="622993A2" w:rsidR="007B7C15" w:rsidRPr="007504E6" w:rsidRDefault="007B7C15" w:rsidP="007B7C15">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lang w:val="en-GB"/>
              </w:rPr>
              <w:t>Index against the base period</w:t>
            </w:r>
          </w:p>
        </w:tc>
      </w:tr>
      <w:tr w:rsidR="007B7C15" w:rsidRPr="007504E6" w14:paraId="0029CF49"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583A77D8" w14:textId="6E9D3FCB" w:rsidR="007B7C15" w:rsidRPr="007504E6" w:rsidRDefault="007B7C15" w:rsidP="007B7C15">
            <w:pPr>
              <w:spacing w:line="240" w:lineRule="auto"/>
              <w:ind w:firstLine="0"/>
              <w:rPr>
                <w:rFonts w:ascii="Times New Roman" w:hAnsi="Times New Roman" w:cs="Times New Roman"/>
                <w:lang w:val="en-GB"/>
              </w:rPr>
            </w:pPr>
            <w:r w:rsidRPr="007504E6">
              <w:rPr>
                <w:lang w:val="en-GB"/>
              </w:rPr>
              <w:t>RC08</w:t>
            </w:r>
          </w:p>
        </w:tc>
        <w:tc>
          <w:tcPr>
            <w:tcW w:w="3979" w:type="dxa"/>
          </w:tcPr>
          <w:p w14:paraId="561479E7" w14:textId="5C852106" w:rsidR="007B7C15" w:rsidRPr="007504E6" w:rsidRDefault="007B7C15" w:rsidP="007B7C15">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lang w:val="en-GB"/>
              </w:rPr>
              <w:t>Construction cost indices by quarters</w:t>
            </w:r>
          </w:p>
        </w:tc>
        <w:tc>
          <w:tcPr>
            <w:tcW w:w="3979" w:type="dxa"/>
          </w:tcPr>
          <w:p w14:paraId="6A9563FD" w14:textId="0A10B0B8" w:rsidR="007B7C15" w:rsidRPr="007504E6" w:rsidRDefault="007B7C15" w:rsidP="007B7C15">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lang w:val="en-GB"/>
              </w:rPr>
              <w:t>Index against the base period</w:t>
            </w:r>
          </w:p>
        </w:tc>
      </w:tr>
      <w:tr w:rsidR="007B7C15" w:rsidRPr="007504E6" w14:paraId="5ED76FB8"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5F01C5FC" w14:textId="7DD7E60F" w:rsidR="007B7C15" w:rsidRPr="007504E6" w:rsidRDefault="007B7C15" w:rsidP="007B7C15">
            <w:pPr>
              <w:spacing w:line="240" w:lineRule="auto"/>
              <w:ind w:firstLine="0"/>
              <w:rPr>
                <w:rFonts w:ascii="Times New Roman" w:hAnsi="Times New Roman" w:cs="Times New Roman"/>
                <w:lang w:val="en-GB"/>
              </w:rPr>
            </w:pPr>
            <w:r w:rsidRPr="007504E6">
              <w:rPr>
                <w:lang w:val="en-GB"/>
              </w:rPr>
              <w:t>RC082</w:t>
            </w:r>
          </w:p>
        </w:tc>
        <w:tc>
          <w:tcPr>
            <w:tcW w:w="3979" w:type="dxa"/>
          </w:tcPr>
          <w:p w14:paraId="621543AA" w14:textId="7FA359B0" w:rsidR="007B7C15" w:rsidRPr="007504E6" w:rsidRDefault="007B7C15" w:rsidP="007B7C15">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lang w:val="en-GB"/>
              </w:rPr>
              <w:t>Construction cost indices by groups of objects and types of resources by quarters</w:t>
            </w:r>
          </w:p>
        </w:tc>
        <w:tc>
          <w:tcPr>
            <w:tcW w:w="3979" w:type="dxa"/>
          </w:tcPr>
          <w:p w14:paraId="64D1C74B" w14:textId="07D814EE" w:rsidR="007B7C15" w:rsidRPr="007504E6" w:rsidRDefault="007B7C15" w:rsidP="007B7C15">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lang w:val="en-GB"/>
              </w:rPr>
              <w:t>Index against the base period</w:t>
            </w:r>
          </w:p>
        </w:tc>
      </w:tr>
      <w:tr w:rsidR="007B7C15" w:rsidRPr="007504E6" w14:paraId="10717C59"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09E5E021" w14:textId="444CEDC0" w:rsidR="007B7C15" w:rsidRPr="007504E6" w:rsidRDefault="007B7C15" w:rsidP="007B7C15">
            <w:pPr>
              <w:spacing w:line="240" w:lineRule="auto"/>
              <w:ind w:firstLine="0"/>
              <w:rPr>
                <w:rFonts w:ascii="Times New Roman" w:hAnsi="Times New Roman" w:cs="Times New Roman"/>
                <w:lang w:val="en-GB"/>
              </w:rPr>
            </w:pPr>
            <w:r w:rsidRPr="007504E6">
              <w:rPr>
                <w:lang w:val="en-GB"/>
              </w:rPr>
              <w:t>RC091</w:t>
            </w:r>
          </w:p>
        </w:tc>
        <w:tc>
          <w:tcPr>
            <w:tcW w:w="3979" w:type="dxa"/>
          </w:tcPr>
          <w:p w14:paraId="52D4163F" w14:textId="6297C8EB" w:rsidR="007B7C15" w:rsidRPr="007504E6" w:rsidRDefault="007B7C15" w:rsidP="007B7C15">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lang w:val="en-GB"/>
              </w:rPr>
              <w:t>Construction cost indices and changes in object groups by quarters</w:t>
            </w:r>
          </w:p>
        </w:tc>
        <w:tc>
          <w:tcPr>
            <w:tcW w:w="3979" w:type="dxa"/>
          </w:tcPr>
          <w:p w14:paraId="4F3B2EE6" w14:textId="77777777" w:rsidR="007B7C15" w:rsidRPr="007504E6" w:rsidRDefault="007B7C15" w:rsidP="007B7C15">
            <w:pPr>
              <w:pStyle w:val="Bezatstarpm"/>
              <w:ind w:firstLine="0"/>
              <w:cnfStyle w:val="000000000000" w:firstRow="0" w:lastRow="0" w:firstColumn="0" w:lastColumn="0" w:oddVBand="0" w:evenVBand="0" w:oddHBand="0" w:evenHBand="0" w:firstRowFirstColumn="0" w:firstRowLastColumn="0" w:lastRowFirstColumn="0" w:lastRowLastColumn="0"/>
              <w:rPr>
                <w:lang w:val="en-GB"/>
              </w:rPr>
            </w:pPr>
            <w:r w:rsidRPr="007504E6">
              <w:rPr>
                <w:lang w:val="en-GB"/>
              </w:rPr>
              <w:t>Index against base period Index against base period</w:t>
            </w:r>
          </w:p>
          <w:p w14:paraId="2C830F56" w14:textId="77777777" w:rsidR="007B7C15" w:rsidRPr="007504E6" w:rsidRDefault="007B7C15" w:rsidP="007B7C15">
            <w:pPr>
              <w:pStyle w:val="Bezatstarpm"/>
              <w:ind w:firstLine="0"/>
              <w:cnfStyle w:val="000000000000" w:firstRow="0" w:lastRow="0" w:firstColumn="0" w:lastColumn="0" w:oddVBand="0" w:evenVBand="0" w:oddHBand="0" w:evenHBand="0" w:firstRowFirstColumn="0" w:firstRowLastColumn="0" w:lastRowFirstColumn="0" w:lastRowLastColumn="0"/>
              <w:rPr>
                <w:lang w:val="en-GB"/>
              </w:rPr>
            </w:pPr>
            <w:r w:rsidRPr="007504E6">
              <w:rPr>
                <w:lang w:val="en-GB"/>
              </w:rPr>
              <w:t>Change from previous period (%)</w:t>
            </w:r>
          </w:p>
          <w:p w14:paraId="4ABB59D1" w14:textId="3AF031A8" w:rsidR="007B7C15" w:rsidRPr="007504E6" w:rsidRDefault="007B7C15" w:rsidP="007B7C15">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lang w:val="en-GB"/>
              </w:rPr>
              <w:t>Changes compared to the corresponding period of the previous year (%)</w:t>
            </w:r>
          </w:p>
        </w:tc>
      </w:tr>
      <w:tr w:rsidR="007B7C15" w:rsidRPr="007504E6" w14:paraId="0B4167B0"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6CBC1881" w14:textId="445B7E11" w:rsidR="007B7C15" w:rsidRPr="007504E6" w:rsidRDefault="007B7C15" w:rsidP="007B7C15">
            <w:pPr>
              <w:spacing w:line="240" w:lineRule="auto"/>
              <w:ind w:firstLine="0"/>
              <w:rPr>
                <w:rFonts w:ascii="Times New Roman" w:hAnsi="Times New Roman" w:cs="Times New Roman"/>
                <w:lang w:val="en-GB"/>
              </w:rPr>
            </w:pPr>
            <w:r w:rsidRPr="007504E6">
              <w:rPr>
                <w:lang w:val="en-GB"/>
              </w:rPr>
              <w:t>BU07</w:t>
            </w:r>
          </w:p>
        </w:tc>
        <w:tc>
          <w:tcPr>
            <w:tcW w:w="3979" w:type="dxa"/>
          </w:tcPr>
          <w:p w14:paraId="0704F338" w14:textId="7215AD97" w:rsidR="007B7C15" w:rsidRPr="007504E6" w:rsidRDefault="007B7C15" w:rsidP="007B7C15">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lang w:val="en-GB"/>
              </w:rPr>
              <w:t>Indices of hours worked, number of employees and wages and salaries and their changes in construction by quarters</w:t>
            </w:r>
          </w:p>
        </w:tc>
        <w:tc>
          <w:tcPr>
            <w:tcW w:w="3979" w:type="dxa"/>
          </w:tcPr>
          <w:p w14:paraId="63F58D9D" w14:textId="77777777" w:rsidR="007B7C15" w:rsidRPr="007504E6" w:rsidRDefault="007B7C15" w:rsidP="007B7C15">
            <w:pPr>
              <w:pStyle w:val="Bezatstarpm"/>
              <w:ind w:firstLine="0"/>
              <w:cnfStyle w:val="000000000000" w:firstRow="0" w:lastRow="0" w:firstColumn="0" w:lastColumn="0" w:oddVBand="0" w:evenVBand="0" w:oddHBand="0" w:evenHBand="0" w:firstRowFirstColumn="0" w:firstRowLastColumn="0" w:lastRowFirstColumn="0" w:lastRowLastColumn="0"/>
              <w:rPr>
                <w:lang w:val="en-GB"/>
              </w:rPr>
            </w:pPr>
            <w:r w:rsidRPr="007504E6">
              <w:rPr>
                <w:lang w:val="en-GB"/>
              </w:rPr>
              <w:t>Index against the base period</w:t>
            </w:r>
          </w:p>
          <w:p w14:paraId="63F3639D" w14:textId="5E46A962" w:rsidR="007B7C15" w:rsidRPr="007504E6" w:rsidRDefault="007B7C15" w:rsidP="007B7C15">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lang w:val="en-GB"/>
              </w:rPr>
              <w:t>As a percentage of the previous period</w:t>
            </w:r>
          </w:p>
        </w:tc>
      </w:tr>
      <w:tr w:rsidR="007B7C15" w:rsidRPr="007504E6" w14:paraId="7D99AF6D"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673382C2" w14:textId="53ED5D1D" w:rsidR="007B7C15" w:rsidRPr="007504E6" w:rsidRDefault="007B7C15" w:rsidP="007B7C15">
            <w:pPr>
              <w:spacing w:line="240" w:lineRule="auto"/>
              <w:ind w:firstLine="0"/>
              <w:rPr>
                <w:rFonts w:ascii="Times New Roman" w:hAnsi="Times New Roman" w:cs="Times New Roman"/>
                <w:lang w:val="en-GB"/>
              </w:rPr>
            </w:pPr>
            <w:r w:rsidRPr="007504E6">
              <w:rPr>
                <w:lang w:val="en-GB"/>
              </w:rPr>
              <w:t>DIG01</w:t>
            </w:r>
          </w:p>
        </w:tc>
        <w:tc>
          <w:tcPr>
            <w:tcW w:w="3979" w:type="dxa"/>
          </w:tcPr>
          <w:p w14:paraId="3E2C32AE" w14:textId="07EF33F5" w:rsidR="007B7C15" w:rsidRPr="007504E6" w:rsidRDefault="007B7C15" w:rsidP="007B7C15">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lang w:val="en-GB"/>
              </w:rPr>
              <w:t xml:space="preserve">Hourly </w:t>
            </w:r>
            <w:proofErr w:type="spellStart"/>
            <w:r w:rsidRPr="007504E6">
              <w:rPr>
                <w:lang w:val="en-GB"/>
              </w:rPr>
              <w:t>labor</w:t>
            </w:r>
            <w:proofErr w:type="spellEnd"/>
            <w:r w:rsidRPr="007504E6">
              <w:rPr>
                <w:lang w:val="en-GB"/>
              </w:rPr>
              <w:t xml:space="preserve"> costs by kind of activity (F, F41, F42, F43)</w:t>
            </w:r>
          </w:p>
        </w:tc>
        <w:tc>
          <w:tcPr>
            <w:tcW w:w="3979" w:type="dxa"/>
          </w:tcPr>
          <w:p w14:paraId="40A10DC2" w14:textId="34E56F18" w:rsidR="007B7C15" w:rsidRPr="007504E6" w:rsidRDefault="007B7C15" w:rsidP="007B7C15">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lang w:val="en-GB"/>
              </w:rPr>
              <w:t>Euro</w:t>
            </w:r>
          </w:p>
        </w:tc>
      </w:tr>
      <w:tr w:rsidR="007B7C15" w:rsidRPr="007504E6" w14:paraId="53FFD988"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0BEBF4A4" w14:textId="1C445A74" w:rsidR="007B7C15" w:rsidRPr="007504E6" w:rsidRDefault="007B7C15" w:rsidP="007B7C15">
            <w:pPr>
              <w:spacing w:line="240" w:lineRule="auto"/>
              <w:ind w:firstLine="0"/>
              <w:rPr>
                <w:rFonts w:ascii="Times New Roman" w:hAnsi="Times New Roman" w:cs="Times New Roman"/>
                <w:lang w:val="en-GB"/>
              </w:rPr>
            </w:pPr>
            <w:r w:rsidRPr="007504E6">
              <w:rPr>
                <w:lang w:val="en-GB"/>
              </w:rPr>
              <w:t>DIG011</w:t>
            </w:r>
          </w:p>
        </w:tc>
        <w:tc>
          <w:tcPr>
            <w:tcW w:w="3979" w:type="dxa"/>
          </w:tcPr>
          <w:p w14:paraId="7614FDC8" w14:textId="3B2CFFFC" w:rsidR="007B7C15" w:rsidRPr="007504E6" w:rsidRDefault="007B7C15" w:rsidP="007B7C15">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lang w:val="en-GB"/>
              </w:rPr>
              <w:t xml:space="preserve">Hourly </w:t>
            </w:r>
            <w:proofErr w:type="spellStart"/>
            <w:r w:rsidRPr="007504E6">
              <w:rPr>
                <w:lang w:val="en-GB"/>
              </w:rPr>
              <w:t>labor</w:t>
            </w:r>
            <w:proofErr w:type="spellEnd"/>
            <w:r w:rsidRPr="007504E6">
              <w:rPr>
                <w:lang w:val="en-GB"/>
              </w:rPr>
              <w:t xml:space="preserve"> costs in statistical units with 10 or more employees by kind of activity (F, F41, F42, F43)</w:t>
            </w:r>
          </w:p>
        </w:tc>
        <w:tc>
          <w:tcPr>
            <w:tcW w:w="3979" w:type="dxa"/>
          </w:tcPr>
          <w:p w14:paraId="1E58E96E" w14:textId="6D250180" w:rsidR="007B7C15" w:rsidRPr="007504E6" w:rsidRDefault="007B7C15" w:rsidP="007B7C15">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lang w:val="en-GB"/>
              </w:rPr>
              <w:t>Euro</w:t>
            </w:r>
          </w:p>
        </w:tc>
      </w:tr>
    </w:tbl>
    <w:p w14:paraId="19491591" w14:textId="77777777" w:rsidR="00D64C5F" w:rsidRPr="007504E6" w:rsidRDefault="00D64C5F" w:rsidP="00D64C5F">
      <w:pPr>
        <w:spacing w:line="240" w:lineRule="auto"/>
        <w:rPr>
          <w:rFonts w:ascii="Times New Roman" w:hAnsi="Times New Roman" w:cs="Times New Roman"/>
          <w:lang w:val="en-GB"/>
        </w:rPr>
      </w:pPr>
    </w:p>
    <w:p w14:paraId="23CD2961" w14:textId="732B550C" w:rsidR="00D64C5F" w:rsidRPr="007504E6" w:rsidRDefault="008A4E90" w:rsidP="00BB3CB6">
      <w:pPr>
        <w:spacing w:line="240" w:lineRule="auto"/>
        <w:ind w:firstLine="0"/>
        <w:rPr>
          <w:rFonts w:ascii="Times New Roman" w:hAnsi="Times New Roman" w:cs="Times New Roman"/>
          <w:lang w:val="en-GB"/>
        </w:rPr>
      </w:pPr>
      <w:r w:rsidRPr="007504E6">
        <w:rPr>
          <w:lang w:val="en-GB"/>
        </w:rPr>
        <w:t>State statistical data do not collect information on changes in construction costs in such groups of objects</w:t>
      </w:r>
      <w:r w:rsidR="00D64C5F" w:rsidRPr="007504E6">
        <w:rPr>
          <w:rFonts w:ascii="Times New Roman" w:hAnsi="Times New Roman" w:cs="Times New Roman"/>
          <w:lang w:val="en-GB"/>
        </w:rPr>
        <w:t>:</w:t>
      </w:r>
    </w:p>
    <w:p w14:paraId="776D93D4" w14:textId="77777777" w:rsidR="00FF747D" w:rsidRPr="007504E6" w:rsidRDefault="00FF747D" w:rsidP="00FF747D">
      <w:pPr>
        <w:pStyle w:val="Sarakstarindkopa"/>
        <w:numPr>
          <w:ilvl w:val="0"/>
          <w:numId w:val="16"/>
        </w:numPr>
        <w:rPr>
          <w:lang w:val="en-GB"/>
        </w:rPr>
      </w:pPr>
      <w:r w:rsidRPr="007504E6">
        <w:rPr>
          <w:lang w:val="en-GB"/>
        </w:rPr>
        <w:t>Industrial production companies of complex buildings in construction;</w:t>
      </w:r>
    </w:p>
    <w:p w14:paraId="2B63033B" w14:textId="41CD136B" w:rsidR="00D64C5F" w:rsidRPr="007504E6" w:rsidRDefault="00FF747D" w:rsidP="00FF747D">
      <w:pPr>
        <w:pStyle w:val="Sarakstarindkopa"/>
        <w:numPr>
          <w:ilvl w:val="0"/>
          <w:numId w:val="16"/>
        </w:numPr>
        <w:spacing w:line="240" w:lineRule="auto"/>
        <w:rPr>
          <w:rFonts w:ascii="Times New Roman" w:hAnsi="Times New Roman" w:cs="Times New Roman"/>
          <w:lang w:val="en-GB"/>
        </w:rPr>
      </w:pPr>
      <w:r w:rsidRPr="007504E6">
        <w:rPr>
          <w:lang w:val="en-GB"/>
        </w:rPr>
        <w:t>Construction of other civil engineering works</w:t>
      </w:r>
      <w:r w:rsidR="00D64C5F" w:rsidRPr="007504E6">
        <w:rPr>
          <w:rFonts w:ascii="Times New Roman" w:hAnsi="Times New Roman" w:cs="Times New Roman"/>
          <w:lang w:val="en-GB"/>
        </w:rPr>
        <w:t>.</w:t>
      </w:r>
    </w:p>
    <w:p w14:paraId="5F57C50B" w14:textId="77777777" w:rsidR="00BB3CB6" w:rsidRPr="007504E6" w:rsidRDefault="00BB3CB6" w:rsidP="00BB3CB6">
      <w:pPr>
        <w:spacing w:line="240" w:lineRule="auto"/>
        <w:ind w:firstLine="0"/>
        <w:rPr>
          <w:rFonts w:ascii="Times New Roman" w:hAnsi="Times New Roman" w:cs="Times New Roman"/>
          <w:lang w:val="en-GB"/>
        </w:rPr>
      </w:pPr>
    </w:p>
    <w:p w14:paraId="1A461B5B" w14:textId="585F1B9A" w:rsidR="009B2DC9" w:rsidRPr="007504E6" w:rsidRDefault="009B2DC9" w:rsidP="009F5035">
      <w:pPr>
        <w:spacing w:line="240" w:lineRule="auto"/>
        <w:ind w:firstLine="0"/>
        <w:rPr>
          <w:rFonts w:ascii="Times New Roman" w:hAnsi="Times New Roman" w:cs="Times New Roman"/>
          <w:lang w:val="en-GB"/>
        </w:rPr>
      </w:pPr>
      <w:r w:rsidRPr="007504E6">
        <w:rPr>
          <w:rFonts w:ascii="Times New Roman" w:hAnsi="Times New Roman" w:cs="Times New Roman"/>
          <w:lang w:val="en-GB"/>
        </w:rPr>
        <w:t>Due to the fact that statistical data on the researched indicator of interest are not available in these groups of objects, the changes in their costs were assessed using the method of expert assessments by interviewing experts representing these groups of objects. The situation is also relevant for the resource type “services (design, construction supervision, author supervision, engineering research and construction expertise)”, therefore changes in the costs of this type of resource were also assessed in the expertise.</w:t>
      </w:r>
    </w:p>
    <w:p w14:paraId="53B2CC85" w14:textId="77777777" w:rsidR="009F5035" w:rsidRPr="007504E6" w:rsidRDefault="009F5035" w:rsidP="009F5035">
      <w:pPr>
        <w:spacing w:line="240" w:lineRule="auto"/>
        <w:ind w:firstLine="0"/>
        <w:rPr>
          <w:rFonts w:ascii="Times New Roman" w:hAnsi="Times New Roman" w:cs="Times New Roman"/>
          <w:lang w:val="en-GB"/>
        </w:rPr>
      </w:pPr>
    </w:p>
    <w:p w14:paraId="0C1CD1B1" w14:textId="0E9431E7" w:rsidR="00D64C5F" w:rsidRPr="007504E6" w:rsidRDefault="009B2DC9" w:rsidP="009B2DC9">
      <w:pPr>
        <w:spacing w:line="240" w:lineRule="auto"/>
        <w:ind w:firstLine="0"/>
        <w:rPr>
          <w:rFonts w:ascii="Times New Roman" w:hAnsi="Times New Roman" w:cs="Times New Roman"/>
          <w:lang w:val="en-GB"/>
        </w:rPr>
      </w:pPr>
      <w:proofErr w:type="spellStart"/>
      <w:r w:rsidRPr="007504E6">
        <w:rPr>
          <w:rFonts w:ascii="Times New Roman" w:hAnsi="Times New Roman" w:cs="Times New Roman"/>
          <w:lang w:val="en-GB"/>
        </w:rPr>
        <w:t>Analyzing</w:t>
      </w:r>
      <w:proofErr w:type="spellEnd"/>
      <w:r w:rsidRPr="007504E6">
        <w:rPr>
          <w:rFonts w:ascii="Times New Roman" w:hAnsi="Times New Roman" w:cs="Times New Roman"/>
          <w:lang w:val="en-GB"/>
        </w:rPr>
        <w:t xml:space="preserve"> the impact of other indicators on changes in construction costs, statistical data on various construction-related indicators, which may have correlations with changes in costs, were compiled</w:t>
      </w:r>
      <w:r w:rsidR="00D64C5F" w:rsidRPr="007504E6">
        <w:rPr>
          <w:rFonts w:ascii="Times New Roman" w:hAnsi="Times New Roman" w:cs="Times New Roman"/>
          <w:lang w:val="en-GB"/>
        </w:rPr>
        <w:t>.</w:t>
      </w:r>
    </w:p>
    <w:p w14:paraId="48A5195D" w14:textId="1A51DBA5" w:rsidR="00D64C5F" w:rsidRPr="007504E6" w:rsidRDefault="004A2A7E" w:rsidP="00D64C5F">
      <w:pPr>
        <w:pStyle w:val="Parakstszemobjekta"/>
        <w:keepNext/>
        <w:spacing w:after="0"/>
        <w:jc w:val="right"/>
        <w:rPr>
          <w:rFonts w:ascii="Times New Roman" w:hAnsi="Times New Roman" w:cs="Times New Roman"/>
          <w:lang w:val="en-GB"/>
        </w:rPr>
      </w:pPr>
      <w:r w:rsidRPr="007504E6">
        <w:rPr>
          <w:rFonts w:ascii="Times New Roman" w:hAnsi="Times New Roman" w:cs="Times New Roman"/>
          <w:lang w:val="en-GB"/>
        </w:rPr>
        <w:t>Table</w:t>
      </w:r>
      <w:r w:rsidR="001B0C98" w:rsidRPr="007504E6">
        <w:rPr>
          <w:rFonts w:ascii="Times New Roman" w:hAnsi="Times New Roman" w:cs="Times New Roman"/>
          <w:lang w:val="en-GB"/>
        </w:rPr>
        <w:t xml:space="preserve"> 2</w:t>
      </w:r>
      <w:r w:rsidR="00D64C5F" w:rsidRPr="007504E6">
        <w:rPr>
          <w:rFonts w:ascii="Times New Roman" w:hAnsi="Times New Roman" w:cs="Times New Roman"/>
          <w:lang w:val="en-GB"/>
        </w:rPr>
        <w:t xml:space="preserve">. </w:t>
      </w:r>
    </w:p>
    <w:p w14:paraId="00CAE91E" w14:textId="5081D807" w:rsidR="00D64C5F" w:rsidRPr="007504E6" w:rsidRDefault="004A2A7E" w:rsidP="00D64C5F">
      <w:pPr>
        <w:pStyle w:val="Parakstszemobjekta"/>
        <w:keepNext/>
        <w:spacing w:after="0"/>
        <w:jc w:val="right"/>
        <w:rPr>
          <w:rFonts w:ascii="Times New Roman" w:hAnsi="Times New Roman" w:cs="Times New Roman"/>
          <w:lang w:val="en-GB"/>
        </w:rPr>
      </w:pPr>
      <w:r w:rsidRPr="007504E6">
        <w:rPr>
          <w:rFonts w:ascii="Times New Roman" w:hAnsi="Times New Roman" w:cs="Times New Roman"/>
          <w:lang w:val="en-GB"/>
        </w:rPr>
        <w:t>Data tables to be used, their names and data accounting units</w:t>
      </w:r>
      <w:r w:rsidR="00D64C5F" w:rsidRPr="007504E6">
        <w:rPr>
          <w:rFonts w:ascii="Times New Roman" w:hAnsi="Times New Roman" w:cs="Times New Roman"/>
          <w:lang w:val="en-GB"/>
        </w:rPr>
        <w:t>.</w:t>
      </w:r>
    </w:p>
    <w:tbl>
      <w:tblPr>
        <w:tblStyle w:val="ListTable4-Accent31"/>
        <w:tblW w:w="9028" w:type="dxa"/>
        <w:tblLook w:val="06A0" w:firstRow="1" w:lastRow="0" w:firstColumn="1" w:lastColumn="0" w:noHBand="1" w:noVBand="1"/>
      </w:tblPr>
      <w:tblGrid>
        <w:gridCol w:w="1070"/>
        <w:gridCol w:w="4737"/>
        <w:gridCol w:w="3221"/>
      </w:tblGrid>
      <w:tr w:rsidR="008B1F9D" w:rsidRPr="007504E6" w14:paraId="2B35452A" w14:textId="77777777" w:rsidTr="00431C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035DDFB2" w14:textId="77777777" w:rsidR="008B1F9D" w:rsidRPr="007504E6" w:rsidRDefault="008B1F9D" w:rsidP="008B1F9D">
            <w:pPr>
              <w:spacing w:line="240" w:lineRule="auto"/>
              <w:ind w:firstLine="0"/>
              <w:rPr>
                <w:rFonts w:ascii="Times New Roman" w:hAnsi="Times New Roman" w:cs="Times New Roman"/>
                <w:lang w:val="en-GB"/>
              </w:rPr>
            </w:pPr>
          </w:p>
        </w:tc>
        <w:tc>
          <w:tcPr>
            <w:tcW w:w="4737" w:type="dxa"/>
          </w:tcPr>
          <w:p w14:paraId="435B6131" w14:textId="450F23AB" w:rsidR="008B1F9D" w:rsidRPr="007504E6" w:rsidRDefault="008B1F9D" w:rsidP="008B1F9D">
            <w:pPr>
              <w:spacing w:line="240" w:lineRule="auto"/>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lang w:val="en-GB"/>
              </w:rPr>
              <w:t>Name</w:t>
            </w:r>
          </w:p>
        </w:tc>
        <w:tc>
          <w:tcPr>
            <w:tcW w:w="3221" w:type="dxa"/>
          </w:tcPr>
          <w:p w14:paraId="23AC7C9C" w14:textId="32FD4678" w:rsidR="008B1F9D" w:rsidRPr="007504E6" w:rsidRDefault="008B1F9D" w:rsidP="008B1F9D">
            <w:pPr>
              <w:spacing w:line="240" w:lineRule="auto"/>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lang w:val="en-GB"/>
              </w:rPr>
              <w:t>Unit of measurement</w:t>
            </w:r>
          </w:p>
        </w:tc>
      </w:tr>
      <w:tr w:rsidR="004A2A7E" w:rsidRPr="007504E6" w14:paraId="38C27002"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35AB2397" w14:textId="2FC5D8B3" w:rsidR="004A2A7E" w:rsidRPr="007504E6" w:rsidRDefault="004A2A7E" w:rsidP="004A2A7E">
            <w:pPr>
              <w:spacing w:line="240" w:lineRule="auto"/>
              <w:ind w:firstLine="0"/>
              <w:rPr>
                <w:rFonts w:ascii="Times New Roman" w:hAnsi="Times New Roman" w:cs="Times New Roman"/>
                <w:lang w:val="en-GB"/>
              </w:rPr>
            </w:pPr>
            <w:r w:rsidRPr="007504E6">
              <w:rPr>
                <w:lang w:val="en-GB"/>
              </w:rPr>
              <w:t>IVG01</w:t>
            </w:r>
          </w:p>
        </w:tc>
        <w:tc>
          <w:tcPr>
            <w:tcW w:w="4737" w:type="dxa"/>
          </w:tcPr>
          <w:p w14:paraId="01812EB4" w14:textId="126A9E50" w:rsidR="004A2A7E" w:rsidRPr="007504E6" w:rsidRDefault="004A2A7E" w:rsidP="004A2A7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lang w:val="en-GB"/>
              </w:rPr>
              <w:t>Non - financial investment by type of activity</w:t>
            </w:r>
          </w:p>
        </w:tc>
        <w:tc>
          <w:tcPr>
            <w:tcW w:w="3221" w:type="dxa"/>
          </w:tcPr>
          <w:p w14:paraId="53E95082" w14:textId="6740CDD5" w:rsidR="004A2A7E" w:rsidRPr="007504E6" w:rsidRDefault="004A2A7E" w:rsidP="004A2A7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lang w:val="en-GB"/>
              </w:rPr>
              <w:t>At constant prices in 2016, million euro</w:t>
            </w:r>
          </w:p>
        </w:tc>
      </w:tr>
      <w:tr w:rsidR="004A2A7E" w:rsidRPr="007504E6" w14:paraId="30A96B7A"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164FC76F" w14:textId="722B0E23" w:rsidR="004A2A7E" w:rsidRPr="007504E6" w:rsidRDefault="004A2A7E" w:rsidP="004A2A7E">
            <w:pPr>
              <w:spacing w:line="240" w:lineRule="auto"/>
              <w:ind w:firstLine="0"/>
              <w:rPr>
                <w:rFonts w:ascii="Times New Roman" w:hAnsi="Times New Roman" w:cs="Times New Roman"/>
                <w:lang w:val="en-GB"/>
              </w:rPr>
            </w:pPr>
            <w:r w:rsidRPr="007504E6">
              <w:rPr>
                <w:lang w:val="en-GB"/>
              </w:rPr>
              <w:t>UFG021</w:t>
            </w:r>
          </w:p>
        </w:tc>
        <w:tc>
          <w:tcPr>
            <w:tcW w:w="4737" w:type="dxa"/>
          </w:tcPr>
          <w:p w14:paraId="0DA2A47A" w14:textId="02992A9C" w:rsidR="004A2A7E" w:rsidRPr="007504E6" w:rsidRDefault="004A2A7E" w:rsidP="004A2A7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lang w:val="en-GB"/>
              </w:rPr>
              <w:t>Net turnover of merchants by kind of activity (E, F41, F42, F43)</w:t>
            </w:r>
          </w:p>
        </w:tc>
        <w:tc>
          <w:tcPr>
            <w:tcW w:w="3221" w:type="dxa"/>
          </w:tcPr>
          <w:p w14:paraId="338C83CF" w14:textId="681BAFFC" w:rsidR="004A2A7E" w:rsidRPr="007504E6" w:rsidRDefault="004A2A7E" w:rsidP="004A2A7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lang w:val="en-GB"/>
              </w:rPr>
              <w:t>Million euro</w:t>
            </w:r>
          </w:p>
        </w:tc>
      </w:tr>
      <w:tr w:rsidR="004A2A7E" w:rsidRPr="007504E6" w14:paraId="18D513D6"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6E8CE189" w14:textId="3C0F2FC4" w:rsidR="004A2A7E" w:rsidRPr="007504E6" w:rsidRDefault="004A2A7E" w:rsidP="004A2A7E">
            <w:pPr>
              <w:spacing w:line="240" w:lineRule="auto"/>
              <w:ind w:firstLine="0"/>
              <w:rPr>
                <w:rFonts w:ascii="Times New Roman" w:hAnsi="Times New Roman" w:cs="Times New Roman"/>
                <w:lang w:val="en-GB"/>
              </w:rPr>
            </w:pPr>
            <w:r w:rsidRPr="007504E6">
              <w:rPr>
                <w:lang w:val="en-GB"/>
              </w:rPr>
              <w:t>UFG022</w:t>
            </w:r>
          </w:p>
        </w:tc>
        <w:tc>
          <w:tcPr>
            <w:tcW w:w="4737" w:type="dxa"/>
          </w:tcPr>
          <w:p w14:paraId="2DB54A25" w14:textId="2946D887" w:rsidR="004A2A7E" w:rsidRPr="007504E6" w:rsidRDefault="004A2A7E" w:rsidP="004A2A7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lang w:val="en-GB"/>
              </w:rPr>
              <w:t>Profit or loss of merchants by taxes by kind of activity (E, F41, F42, F43)</w:t>
            </w:r>
          </w:p>
        </w:tc>
        <w:tc>
          <w:tcPr>
            <w:tcW w:w="3221" w:type="dxa"/>
          </w:tcPr>
          <w:p w14:paraId="1EEA2D35" w14:textId="33C66BA8" w:rsidR="004A2A7E" w:rsidRPr="007504E6" w:rsidRDefault="004A2A7E" w:rsidP="004A2A7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lang w:val="en-GB"/>
              </w:rPr>
              <w:t>Million euro</w:t>
            </w:r>
          </w:p>
        </w:tc>
      </w:tr>
      <w:tr w:rsidR="004A2A7E" w:rsidRPr="007504E6" w14:paraId="5885DF38"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4166BA74" w14:textId="1AA3F2DB" w:rsidR="004A2A7E" w:rsidRPr="007504E6" w:rsidRDefault="004A2A7E" w:rsidP="004A2A7E">
            <w:pPr>
              <w:spacing w:line="240" w:lineRule="auto"/>
              <w:ind w:firstLine="0"/>
              <w:rPr>
                <w:rFonts w:ascii="Times New Roman" w:hAnsi="Times New Roman" w:cs="Times New Roman"/>
                <w:lang w:val="en-GB"/>
              </w:rPr>
            </w:pPr>
            <w:r w:rsidRPr="007504E6">
              <w:rPr>
                <w:lang w:val="en-GB"/>
              </w:rPr>
              <w:t>BUG01</w:t>
            </w:r>
          </w:p>
        </w:tc>
        <w:tc>
          <w:tcPr>
            <w:tcW w:w="4737" w:type="dxa"/>
          </w:tcPr>
          <w:p w14:paraId="1D0BD972" w14:textId="40424C39" w:rsidR="004A2A7E" w:rsidRPr="007504E6" w:rsidRDefault="004A2A7E" w:rsidP="004A2A7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lang w:val="en-GB"/>
              </w:rPr>
              <w:t>Construction output volume indices and changes</w:t>
            </w:r>
          </w:p>
        </w:tc>
        <w:tc>
          <w:tcPr>
            <w:tcW w:w="3221" w:type="dxa"/>
          </w:tcPr>
          <w:p w14:paraId="6AA1B411" w14:textId="3A785A8E" w:rsidR="004A2A7E" w:rsidRPr="007504E6" w:rsidRDefault="004A2A7E" w:rsidP="004A2A7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lang w:val="en-GB"/>
              </w:rPr>
              <w:t>Change compared to the corresponding period of the previous year,%</w:t>
            </w:r>
          </w:p>
        </w:tc>
      </w:tr>
      <w:tr w:rsidR="004A2A7E" w:rsidRPr="007504E6" w14:paraId="3023ED64"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22D14887" w14:textId="70AD2A84" w:rsidR="004A2A7E" w:rsidRPr="007504E6" w:rsidRDefault="004A2A7E" w:rsidP="004A2A7E">
            <w:pPr>
              <w:spacing w:line="240" w:lineRule="auto"/>
              <w:ind w:firstLine="0"/>
              <w:rPr>
                <w:rFonts w:ascii="Times New Roman" w:hAnsi="Times New Roman" w:cs="Times New Roman"/>
                <w:lang w:val="en-GB"/>
              </w:rPr>
            </w:pPr>
            <w:r w:rsidRPr="007504E6">
              <w:rPr>
                <w:lang w:val="en-GB"/>
              </w:rPr>
              <w:t>BUG04</w:t>
            </w:r>
          </w:p>
        </w:tc>
        <w:tc>
          <w:tcPr>
            <w:tcW w:w="4737" w:type="dxa"/>
          </w:tcPr>
          <w:p w14:paraId="51D82D12" w14:textId="78E89AC2" w:rsidR="004A2A7E" w:rsidRPr="007504E6" w:rsidRDefault="004A2A7E" w:rsidP="004A2A7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lang w:val="en-GB"/>
              </w:rPr>
              <w:t>Number of issued building permits and estimated area by type of buildings in statistical regions and cities of the Republic</w:t>
            </w:r>
          </w:p>
        </w:tc>
        <w:tc>
          <w:tcPr>
            <w:tcW w:w="3221" w:type="dxa"/>
          </w:tcPr>
          <w:p w14:paraId="429A2522" w14:textId="77777777" w:rsidR="004A2A7E" w:rsidRPr="007504E6" w:rsidRDefault="004A2A7E" w:rsidP="004A2A7E">
            <w:pPr>
              <w:pStyle w:val="Bezatstarpm"/>
              <w:ind w:firstLine="0"/>
              <w:cnfStyle w:val="000000000000" w:firstRow="0" w:lastRow="0" w:firstColumn="0" w:lastColumn="0" w:oddVBand="0" w:evenVBand="0" w:oddHBand="0" w:evenHBand="0" w:firstRowFirstColumn="0" w:firstRowLastColumn="0" w:lastRowFirstColumn="0" w:lastRowLastColumn="0"/>
              <w:rPr>
                <w:lang w:val="en-GB"/>
              </w:rPr>
            </w:pPr>
            <w:r w:rsidRPr="007504E6">
              <w:rPr>
                <w:lang w:val="en-GB"/>
              </w:rPr>
              <w:t>Number of</w:t>
            </w:r>
          </w:p>
          <w:p w14:paraId="6D45F70F" w14:textId="2E8F6285" w:rsidR="004A2A7E" w:rsidRPr="007504E6" w:rsidRDefault="004A2A7E" w:rsidP="004A2A7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lang w:val="en-GB"/>
              </w:rPr>
              <w:t xml:space="preserve">Area, </w:t>
            </w:r>
            <w:proofErr w:type="spellStart"/>
            <w:r w:rsidRPr="007504E6">
              <w:rPr>
                <w:lang w:val="en-GB"/>
              </w:rPr>
              <w:t>thous</w:t>
            </w:r>
            <w:proofErr w:type="spellEnd"/>
            <w:r w:rsidRPr="007504E6">
              <w:rPr>
                <w:lang w:val="en-GB"/>
              </w:rPr>
              <w:t>. m</w:t>
            </w:r>
            <w:r w:rsidRPr="007504E6">
              <w:rPr>
                <w:vertAlign w:val="superscript"/>
                <w:lang w:val="en-GB"/>
              </w:rPr>
              <w:t>2</w:t>
            </w:r>
          </w:p>
        </w:tc>
      </w:tr>
      <w:tr w:rsidR="004A2A7E" w:rsidRPr="007504E6" w14:paraId="295699E0"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6D56E161" w14:textId="56B9E254" w:rsidR="004A2A7E" w:rsidRPr="007504E6" w:rsidRDefault="004A2A7E" w:rsidP="004A2A7E">
            <w:pPr>
              <w:spacing w:line="240" w:lineRule="auto"/>
              <w:ind w:firstLine="0"/>
              <w:rPr>
                <w:rFonts w:ascii="Times New Roman" w:hAnsi="Times New Roman" w:cs="Times New Roman"/>
                <w:lang w:val="en-GB"/>
              </w:rPr>
            </w:pPr>
            <w:r w:rsidRPr="007504E6">
              <w:rPr>
                <w:lang w:val="en-GB"/>
              </w:rPr>
              <w:t>BUG05</w:t>
            </w:r>
          </w:p>
        </w:tc>
        <w:tc>
          <w:tcPr>
            <w:tcW w:w="4737" w:type="dxa"/>
          </w:tcPr>
          <w:p w14:paraId="39112E17" w14:textId="2F456E62" w:rsidR="004A2A7E" w:rsidRPr="007504E6" w:rsidRDefault="004A2A7E" w:rsidP="004A2A7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lang w:val="en-GB"/>
              </w:rPr>
              <w:t>Number and area of new dwellings put into operation in statistical regions, cities and counties of the Republic</w:t>
            </w:r>
          </w:p>
        </w:tc>
        <w:tc>
          <w:tcPr>
            <w:tcW w:w="3221" w:type="dxa"/>
          </w:tcPr>
          <w:p w14:paraId="7925C6A3" w14:textId="77777777" w:rsidR="004A2A7E" w:rsidRPr="007504E6" w:rsidRDefault="004A2A7E" w:rsidP="004A2A7E">
            <w:pPr>
              <w:pStyle w:val="Bezatstarpm"/>
              <w:ind w:firstLine="0"/>
              <w:cnfStyle w:val="000000000000" w:firstRow="0" w:lastRow="0" w:firstColumn="0" w:lastColumn="0" w:oddVBand="0" w:evenVBand="0" w:oddHBand="0" w:evenHBand="0" w:firstRowFirstColumn="0" w:firstRowLastColumn="0" w:lastRowFirstColumn="0" w:lastRowLastColumn="0"/>
              <w:rPr>
                <w:lang w:val="en-GB"/>
              </w:rPr>
            </w:pPr>
            <w:r w:rsidRPr="007504E6">
              <w:rPr>
                <w:lang w:val="en-GB"/>
              </w:rPr>
              <w:t>Apartments, number,</w:t>
            </w:r>
          </w:p>
          <w:p w14:paraId="6321F8E7" w14:textId="39425B1E" w:rsidR="004A2A7E" w:rsidRPr="007504E6" w:rsidRDefault="004A2A7E" w:rsidP="004A2A7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lang w:val="en-GB"/>
              </w:rPr>
              <w:t xml:space="preserve">Area, </w:t>
            </w:r>
            <w:proofErr w:type="spellStart"/>
            <w:r w:rsidRPr="007504E6">
              <w:rPr>
                <w:lang w:val="en-GB"/>
              </w:rPr>
              <w:t>thous</w:t>
            </w:r>
            <w:proofErr w:type="spellEnd"/>
            <w:r w:rsidRPr="007504E6">
              <w:rPr>
                <w:lang w:val="en-GB"/>
              </w:rPr>
              <w:t>. m</w:t>
            </w:r>
            <w:r w:rsidRPr="007504E6">
              <w:rPr>
                <w:vertAlign w:val="superscript"/>
                <w:lang w:val="en-GB"/>
              </w:rPr>
              <w:t>2</w:t>
            </w:r>
          </w:p>
        </w:tc>
      </w:tr>
      <w:tr w:rsidR="004A2A7E" w:rsidRPr="007504E6" w14:paraId="3BE84CE5"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7A59E5B0" w14:textId="5B2A8B31" w:rsidR="004A2A7E" w:rsidRPr="007504E6" w:rsidRDefault="004A2A7E" w:rsidP="004A2A7E">
            <w:pPr>
              <w:spacing w:line="240" w:lineRule="auto"/>
              <w:ind w:firstLine="0"/>
              <w:rPr>
                <w:rFonts w:ascii="Times New Roman" w:hAnsi="Times New Roman" w:cs="Times New Roman"/>
                <w:lang w:val="en-GB"/>
              </w:rPr>
            </w:pPr>
            <w:r w:rsidRPr="007504E6">
              <w:rPr>
                <w:lang w:val="en-GB"/>
              </w:rPr>
              <w:t>BUG06</w:t>
            </w:r>
          </w:p>
        </w:tc>
        <w:tc>
          <w:tcPr>
            <w:tcW w:w="4737" w:type="dxa"/>
          </w:tcPr>
          <w:p w14:paraId="65CD7D6F" w14:textId="25F1F0C8" w:rsidR="004A2A7E" w:rsidRPr="007504E6" w:rsidRDefault="004A2A7E" w:rsidP="004A2A7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lang w:val="en-GB"/>
              </w:rPr>
              <w:t>Commissioned buildings in statistical regions and cities of the Republic</w:t>
            </w:r>
          </w:p>
        </w:tc>
        <w:tc>
          <w:tcPr>
            <w:tcW w:w="3221" w:type="dxa"/>
          </w:tcPr>
          <w:p w14:paraId="1751E5C4" w14:textId="4C3F27FC" w:rsidR="004A2A7E" w:rsidRPr="007504E6" w:rsidRDefault="004A2A7E" w:rsidP="004A2A7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lang w:val="en-GB"/>
              </w:rPr>
              <w:t>Thousands m</w:t>
            </w:r>
            <w:r w:rsidRPr="007504E6">
              <w:rPr>
                <w:vertAlign w:val="superscript"/>
                <w:lang w:val="en-GB"/>
              </w:rPr>
              <w:t>2</w:t>
            </w:r>
          </w:p>
        </w:tc>
      </w:tr>
      <w:tr w:rsidR="004A2A7E" w:rsidRPr="007504E6" w14:paraId="48360C24"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59DACBF9" w14:textId="14B7A074" w:rsidR="004A2A7E" w:rsidRPr="007504E6" w:rsidRDefault="004A2A7E" w:rsidP="004A2A7E">
            <w:pPr>
              <w:spacing w:line="240" w:lineRule="auto"/>
              <w:ind w:firstLine="0"/>
              <w:rPr>
                <w:rFonts w:ascii="Times New Roman" w:hAnsi="Times New Roman" w:cs="Times New Roman"/>
                <w:lang w:val="en-GB"/>
              </w:rPr>
            </w:pPr>
            <w:r w:rsidRPr="007504E6">
              <w:rPr>
                <w:lang w:val="en-GB"/>
              </w:rPr>
              <w:t>BUG07</w:t>
            </w:r>
          </w:p>
        </w:tc>
        <w:tc>
          <w:tcPr>
            <w:tcW w:w="4737" w:type="dxa"/>
          </w:tcPr>
          <w:p w14:paraId="39D0070B" w14:textId="2137C32D" w:rsidR="004A2A7E" w:rsidRPr="007504E6" w:rsidRDefault="004A2A7E" w:rsidP="004A2A7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lang w:val="en-GB"/>
              </w:rPr>
              <w:t>Index of the number of new buildings</w:t>
            </w:r>
          </w:p>
        </w:tc>
        <w:tc>
          <w:tcPr>
            <w:tcW w:w="3221" w:type="dxa"/>
          </w:tcPr>
          <w:p w14:paraId="7CAB06EF" w14:textId="140332D3" w:rsidR="004A2A7E" w:rsidRPr="007504E6" w:rsidRDefault="004A2A7E" w:rsidP="004A2A7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lang w:val="en-GB"/>
              </w:rPr>
              <w:t>Index against the base period</w:t>
            </w:r>
          </w:p>
        </w:tc>
      </w:tr>
    </w:tbl>
    <w:p w14:paraId="5C7C8ABB" w14:textId="77777777" w:rsidR="00D64C5F" w:rsidRPr="007504E6" w:rsidRDefault="00D64C5F" w:rsidP="00D64C5F">
      <w:pPr>
        <w:spacing w:line="240" w:lineRule="auto"/>
        <w:rPr>
          <w:rFonts w:ascii="Times New Roman" w:hAnsi="Times New Roman" w:cs="Times New Roman"/>
          <w:lang w:val="en-GB"/>
        </w:rPr>
      </w:pPr>
    </w:p>
    <w:p w14:paraId="6CDE61DD" w14:textId="7E2BEF05" w:rsidR="009F5035" w:rsidRPr="007504E6" w:rsidRDefault="009F5035" w:rsidP="009F5035">
      <w:pPr>
        <w:spacing w:line="240" w:lineRule="auto"/>
        <w:ind w:firstLine="0"/>
        <w:rPr>
          <w:rFonts w:ascii="Times New Roman" w:hAnsi="Times New Roman" w:cs="Times New Roman"/>
          <w:lang w:val="en-GB"/>
        </w:rPr>
      </w:pPr>
      <w:r w:rsidRPr="007504E6">
        <w:rPr>
          <w:rFonts w:ascii="Times New Roman" w:hAnsi="Times New Roman" w:cs="Times New Roman"/>
          <w:lang w:val="en-GB"/>
        </w:rPr>
        <w:t>Statistics on these indicators are available not only in index and percentage growth units, but also in absolute units - number, area, euro.</w:t>
      </w:r>
    </w:p>
    <w:p w14:paraId="767D8F0B" w14:textId="77777777" w:rsidR="009F5035" w:rsidRPr="007504E6" w:rsidRDefault="009F5035" w:rsidP="009F5035">
      <w:pPr>
        <w:spacing w:line="240" w:lineRule="auto"/>
        <w:ind w:firstLine="0"/>
        <w:rPr>
          <w:rFonts w:ascii="Times New Roman" w:hAnsi="Times New Roman" w:cs="Times New Roman"/>
          <w:lang w:val="en-GB"/>
        </w:rPr>
      </w:pPr>
    </w:p>
    <w:p w14:paraId="12F55601" w14:textId="2A5D3EB7" w:rsidR="00D64C5F" w:rsidRPr="007504E6" w:rsidRDefault="009F5035" w:rsidP="009F5035">
      <w:pPr>
        <w:spacing w:line="240" w:lineRule="auto"/>
        <w:ind w:firstLine="0"/>
        <w:rPr>
          <w:rFonts w:ascii="Times New Roman" w:hAnsi="Times New Roman" w:cs="Times New Roman"/>
          <w:lang w:val="en-GB"/>
        </w:rPr>
      </w:pPr>
      <w:r w:rsidRPr="007504E6">
        <w:rPr>
          <w:rFonts w:ascii="Times New Roman" w:hAnsi="Times New Roman" w:cs="Times New Roman"/>
          <w:lang w:val="en-GB"/>
        </w:rPr>
        <w:t>When summarizing statistical information for the indicators indicated in Tables 1 and 2, separate surveyed indicators in both the public and private sectors are considered in case of data availability</w:t>
      </w:r>
      <w:r w:rsidR="00D64C5F" w:rsidRPr="007504E6">
        <w:rPr>
          <w:rFonts w:ascii="Times New Roman" w:hAnsi="Times New Roman" w:cs="Times New Roman"/>
          <w:lang w:val="en-GB"/>
        </w:rPr>
        <w:t xml:space="preserve">. </w:t>
      </w:r>
    </w:p>
    <w:p w14:paraId="68F12E64" w14:textId="77777777" w:rsidR="00D64C5F" w:rsidRPr="007504E6" w:rsidRDefault="00D64C5F" w:rsidP="00D64C5F">
      <w:pPr>
        <w:spacing w:line="240" w:lineRule="auto"/>
        <w:rPr>
          <w:rFonts w:ascii="Times New Roman" w:hAnsi="Times New Roman" w:cs="Times New Roman"/>
          <w:lang w:val="en-GB"/>
        </w:rPr>
      </w:pPr>
    </w:p>
    <w:p w14:paraId="078D9DDB" w14:textId="77777777" w:rsidR="00D64C5F" w:rsidRPr="007504E6" w:rsidRDefault="00D64C5F" w:rsidP="00D64C5F">
      <w:pPr>
        <w:spacing w:line="240" w:lineRule="auto"/>
        <w:rPr>
          <w:rFonts w:ascii="Times New Roman" w:hAnsi="Times New Roman" w:cs="Times New Roman"/>
          <w:lang w:val="en-GB"/>
        </w:rPr>
      </w:pPr>
    </w:p>
    <w:p w14:paraId="5EED80C5" w14:textId="010F9426" w:rsidR="00D64C5F" w:rsidRPr="007504E6" w:rsidRDefault="00AB0285" w:rsidP="0054030B">
      <w:pPr>
        <w:pStyle w:val="Virsraksts3"/>
        <w:rPr>
          <w:rFonts w:ascii="Times New Roman" w:hAnsi="Times New Roman" w:cs="Times New Roman"/>
          <w:lang w:val="en-GB"/>
        </w:rPr>
      </w:pPr>
      <w:r w:rsidRPr="007504E6">
        <w:rPr>
          <w:rFonts w:ascii="Times New Roman" w:hAnsi="Times New Roman" w:cs="Times New Roman"/>
          <w:lang w:val="en-GB"/>
        </w:rPr>
        <w:t>Expert evaluations</w:t>
      </w:r>
    </w:p>
    <w:p w14:paraId="73C7C2A5" w14:textId="32A7D36D" w:rsidR="00A522A3" w:rsidRPr="007504E6" w:rsidRDefault="00A522A3" w:rsidP="00A522A3">
      <w:pPr>
        <w:spacing w:line="240" w:lineRule="auto"/>
        <w:ind w:firstLine="0"/>
        <w:rPr>
          <w:rFonts w:ascii="Times New Roman" w:hAnsi="Times New Roman" w:cs="Times New Roman"/>
          <w:lang w:val="en-GB"/>
        </w:rPr>
      </w:pPr>
      <w:r w:rsidRPr="007504E6">
        <w:rPr>
          <w:rFonts w:ascii="Times New Roman" w:hAnsi="Times New Roman" w:cs="Times New Roman"/>
          <w:lang w:val="en-GB"/>
        </w:rPr>
        <w:t>The main goal of applying expert methods is to raise the professional level of decisions. Expert evaluations in the context of this study are evaluated as essential information for making informed, informed decisions in complex, non-standard situations, as well as for making very important decisions that are important for society.</w:t>
      </w:r>
    </w:p>
    <w:p w14:paraId="6B66D0F7" w14:textId="77777777" w:rsidR="00A522A3" w:rsidRPr="007504E6" w:rsidRDefault="00A522A3" w:rsidP="00A522A3">
      <w:pPr>
        <w:spacing w:line="240" w:lineRule="auto"/>
        <w:ind w:firstLine="0"/>
        <w:rPr>
          <w:rFonts w:ascii="Times New Roman" w:hAnsi="Times New Roman" w:cs="Times New Roman"/>
          <w:lang w:val="en-GB"/>
        </w:rPr>
      </w:pPr>
    </w:p>
    <w:p w14:paraId="7D6F95E2" w14:textId="51833C29" w:rsidR="00D64C5F" w:rsidRPr="007504E6" w:rsidRDefault="00A522A3" w:rsidP="00A522A3">
      <w:pPr>
        <w:spacing w:line="240" w:lineRule="auto"/>
        <w:ind w:firstLine="0"/>
        <w:rPr>
          <w:rFonts w:ascii="Times New Roman" w:hAnsi="Times New Roman" w:cs="Times New Roman"/>
          <w:lang w:val="en-GB"/>
        </w:rPr>
      </w:pPr>
      <w:r w:rsidRPr="007504E6">
        <w:rPr>
          <w:rFonts w:ascii="Times New Roman" w:hAnsi="Times New Roman" w:cs="Times New Roman"/>
          <w:lang w:val="en-GB"/>
        </w:rPr>
        <w:t>Expert methods are used in two cases to forecast trends in construction cost changes</w:t>
      </w:r>
      <w:r w:rsidR="00D64C5F" w:rsidRPr="007504E6">
        <w:rPr>
          <w:rFonts w:ascii="Times New Roman" w:hAnsi="Times New Roman" w:cs="Times New Roman"/>
          <w:lang w:val="en-GB"/>
        </w:rPr>
        <w:t>:</w:t>
      </w:r>
    </w:p>
    <w:p w14:paraId="582DF4C2" w14:textId="77777777" w:rsidR="00BB3CB6" w:rsidRPr="007504E6" w:rsidRDefault="00BB3CB6" w:rsidP="00BB3CB6">
      <w:pPr>
        <w:spacing w:line="240" w:lineRule="auto"/>
        <w:ind w:firstLine="0"/>
        <w:rPr>
          <w:rFonts w:ascii="Times New Roman" w:hAnsi="Times New Roman" w:cs="Times New Roman"/>
          <w:lang w:val="en-GB"/>
        </w:rPr>
      </w:pPr>
    </w:p>
    <w:p w14:paraId="248B3D33" w14:textId="77777777" w:rsidR="00E87E74" w:rsidRPr="007504E6" w:rsidRDefault="00E87E74" w:rsidP="00E87E74">
      <w:pPr>
        <w:pStyle w:val="Sarakstarindkopa"/>
        <w:numPr>
          <w:ilvl w:val="0"/>
          <w:numId w:val="17"/>
        </w:numPr>
        <w:spacing w:line="240" w:lineRule="auto"/>
        <w:rPr>
          <w:rFonts w:ascii="Times New Roman" w:hAnsi="Times New Roman" w:cs="Times New Roman"/>
          <w:lang w:val="en-GB"/>
        </w:rPr>
      </w:pPr>
      <w:r w:rsidRPr="007504E6">
        <w:rPr>
          <w:rFonts w:ascii="Times New Roman" w:hAnsi="Times New Roman" w:cs="Times New Roman"/>
          <w:lang w:val="en-GB"/>
        </w:rPr>
        <w:t>if series of dynamics have been identified, which are not characterized by a development trend and qualitative forecasts cannot be obtained with statistical forecasting methods;</w:t>
      </w:r>
    </w:p>
    <w:p w14:paraId="7800CD0B" w14:textId="0CB79949" w:rsidR="00D64C5F" w:rsidRPr="007504E6" w:rsidRDefault="00E87E74" w:rsidP="00E87E74">
      <w:pPr>
        <w:pStyle w:val="Sarakstarindkopa"/>
        <w:numPr>
          <w:ilvl w:val="0"/>
          <w:numId w:val="17"/>
        </w:numPr>
        <w:spacing w:line="240" w:lineRule="auto"/>
        <w:rPr>
          <w:rFonts w:ascii="Times New Roman" w:hAnsi="Times New Roman" w:cs="Times New Roman"/>
          <w:lang w:val="en-GB"/>
        </w:rPr>
      </w:pPr>
      <w:r w:rsidRPr="007504E6">
        <w:rPr>
          <w:rFonts w:ascii="Times New Roman" w:hAnsi="Times New Roman" w:cs="Times New Roman"/>
          <w:lang w:val="en-GB"/>
        </w:rPr>
        <w:t>if it is necessary to forecast an indicator of development of territorial units for which statistical information has not been accumulated</w:t>
      </w:r>
      <w:r w:rsidR="00D64C5F" w:rsidRPr="007504E6">
        <w:rPr>
          <w:rFonts w:ascii="Times New Roman" w:hAnsi="Times New Roman" w:cs="Times New Roman"/>
          <w:lang w:val="en-GB"/>
        </w:rPr>
        <w:t>.</w:t>
      </w:r>
    </w:p>
    <w:p w14:paraId="78C94DB3" w14:textId="77777777" w:rsidR="00BB3CB6" w:rsidRPr="007504E6" w:rsidRDefault="00BB3CB6" w:rsidP="00BB3CB6">
      <w:pPr>
        <w:spacing w:line="240" w:lineRule="auto"/>
        <w:ind w:firstLine="0"/>
        <w:rPr>
          <w:rFonts w:ascii="Times New Roman" w:hAnsi="Times New Roman" w:cs="Times New Roman"/>
          <w:lang w:val="en-GB"/>
        </w:rPr>
      </w:pPr>
    </w:p>
    <w:p w14:paraId="51C71B87" w14:textId="5BE9647A" w:rsidR="00D64C5F" w:rsidRPr="007504E6" w:rsidRDefault="00B67136" w:rsidP="00BB3CB6">
      <w:pPr>
        <w:spacing w:line="240" w:lineRule="auto"/>
        <w:ind w:firstLine="0"/>
        <w:rPr>
          <w:rFonts w:ascii="Times New Roman" w:hAnsi="Times New Roman" w:cs="Times New Roman"/>
          <w:lang w:val="en-GB"/>
        </w:rPr>
      </w:pPr>
      <w:r w:rsidRPr="007504E6">
        <w:rPr>
          <w:rFonts w:ascii="Times New Roman" w:hAnsi="Times New Roman" w:cs="Times New Roman"/>
          <w:lang w:val="en-GB"/>
        </w:rPr>
        <w:t>In such cases, within the framework of the study, the task of experts is to forecast the indicator of interest as a growth rate. In the context of this study, there are items where the level of detail of the information is higher than that collected in national statistics. Thus, the second case manifests itself when statistical information is not accumulated. Expert assessments from the relevant groups of objects were used to assess the extent of cost changes. The first situation when expertise is required for dynamic series without a pronounced development trend was also covered within the study, if any of the statistical indicators were without a pronounced development trend. The experts were provided with closed-ended questions with the researched indicators in certain groups of objects and by types of resources. The experts provided their assessment of the rate of change in costs for the time periods specified for each item, thus forming an expert forecast</w:t>
      </w:r>
      <w:r w:rsidR="00D64C5F" w:rsidRPr="007504E6">
        <w:rPr>
          <w:rFonts w:ascii="Times New Roman" w:hAnsi="Times New Roman" w:cs="Times New Roman"/>
          <w:lang w:val="en-GB"/>
        </w:rPr>
        <w:t xml:space="preserve">. </w:t>
      </w:r>
    </w:p>
    <w:p w14:paraId="6B77B303" w14:textId="77777777" w:rsidR="00BB3CB6" w:rsidRPr="007504E6" w:rsidRDefault="00BB3CB6" w:rsidP="00BB3CB6">
      <w:pPr>
        <w:spacing w:line="240" w:lineRule="auto"/>
        <w:ind w:firstLine="0"/>
        <w:rPr>
          <w:rFonts w:ascii="Times New Roman" w:hAnsi="Times New Roman" w:cs="Times New Roman"/>
          <w:lang w:val="en-GB"/>
        </w:rPr>
      </w:pPr>
    </w:p>
    <w:p w14:paraId="5E77DFAF" w14:textId="37140471" w:rsidR="00D64C5F" w:rsidRPr="007504E6" w:rsidRDefault="00B67136" w:rsidP="00D64C5F">
      <w:pPr>
        <w:pStyle w:val="Parakstszemobjekta"/>
        <w:keepNext/>
        <w:rPr>
          <w:rFonts w:ascii="Times New Roman" w:hAnsi="Times New Roman" w:cs="Times New Roman"/>
          <w:lang w:val="en-GB"/>
        </w:rPr>
      </w:pPr>
      <w:r w:rsidRPr="007504E6">
        <w:rPr>
          <w:rFonts w:ascii="Times New Roman" w:hAnsi="Times New Roman" w:cs="Times New Roman"/>
          <w:lang w:val="en-GB"/>
        </w:rPr>
        <w:t>Table</w:t>
      </w:r>
      <w:r w:rsidR="001B0C98" w:rsidRPr="007504E6">
        <w:rPr>
          <w:rFonts w:ascii="Times New Roman" w:hAnsi="Times New Roman" w:cs="Times New Roman"/>
          <w:lang w:val="en-GB"/>
        </w:rPr>
        <w:t xml:space="preserve"> 3</w:t>
      </w:r>
      <w:r w:rsidR="00D64C5F" w:rsidRPr="007504E6">
        <w:rPr>
          <w:rFonts w:ascii="Times New Roman" w:hAnsi="Times New Roman" w:cs="Times New Roman"/>
          <w:lang w:val="en-GB"/>
        </w:rPr>
        <w:t xml:space="preserve">. </w:t>
      </w:r>
      <w:r w:rsidRPr="007504E6">
        <w:rPr>
          <w:rFonts w:ascii="Times New Roman" w:hAnsi="Times New Roman" w:cs="Times New Roman"/>
          <w:lang w:val="en-GB"/>
        </w:rPr>
        <w:t>Example of obtaining expert estimates of cost change estimates</w:t>
      </w:r>
    </w:p>
    <w:tbl>
      <w:tblPr>
        <w:tblStyle w:val="ListTable4-Accent31"/>
        <w:tblW w:w="0" w:type="auto"/>
        <w:tblLook w:val="02A0" w:firstRow="1" w:lastRow="0" w:firstColumn="1" w:lastColumn="0" w:noHBand="1" w:noVBand="0"/>
      </w:tblPr>
      <w:tblGrid>
        <w:gridCol w:w="1863"/>
        <w:gridCol w:w="1577"/>
        <w:gridCol w:w="1578"/>
        <w:gridCol w:w="1578"/>
        <w:gridCol w:w="1578"/>
      </w:tblGrid>
      <w:tr w:rsidR="00D64C5F" w:rsidRPr="007504E6" w14:paraId="0B21B3AA" w14:textId="77777777" w:rsidTr="00431C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3" w:type="dxa"/>
          </w:tcPr>
          <w:p w14:paraId="37CD2E04" w14:textId="77777777" w:rsidR="00D64C5F" w:rsidRPr="007504E6" w:rsidRDefault="00D64C5F" w:rsidP="00431C6E">
            <w:pPr>
              <w:spacing w:line="240" w:lineRule="auto"/>
              <w:ind w:firstLine="0"/>
              <w:rPr>
                <w:rFonts w:ascii="Times New Roman" w:hAnsi="Times New Roman" w:cs="Times New Roman"/>
                <w:lang w:val="en-GB"/>
              </w:rPr>
            </w:pPr>
          </w:p>
        </w:tc>
        <w:tc>
          <w:tcPr>
            <w:cnfStyle w:val="000010000000" w:firstRow="0" w:lastRow="0" w:firstColumn="0" w:lastColumn="0" w:oddVBand="1" w:evenVBand="0" w:oddHBand="0" w:evenHBand="0" w:firstRowFirstColumn="0" w:firstRowLastColumn="0" w:lastRowFirstColumn="0" w:lastRowLastColumn="0"/>
            <w:tcW w:w="6311" w:type="dxa"/>
            <w:gridSpan w:val="4"/>
          </w:tcPr>
          <w:p w14:paraId="556B2971" w14:textId="4DE7E0C3" w:rsidR="00D64C5F" w:rsidRPr="007504E6" w:rsidRDefault="0040030C" w:rsidP="00431C6E">
            <w:pPr>
              <w:spacing w:line="240" w:lineRule="auto"/>
              <w:ind w:firstLine="0"/>
              <w:jc w:val="center"/>
              <w:rPr>
                <w:rFonts w:ascii="Times New Roman" w:hAnsi="Times New Roman" w:cs="Times New Roman"/>
                <w:lang w:val="en-GB"/>
              </w:rPr>
            </w:pPr>
            <w:r w:rsidRPr="007504E6">
              <w:rPr>
                <w:rFonts w:ascii="Times New Roman" w:hAnsi="Times New Roman" w:cs="Times New Roman"/>
                <w:lang w:val="en-GB"/>
              </w:rPr>
              <w:t>Expert estimates of cost changes</w:t>
            </w:r>
          </w:p>
        </w:tc>
      </w:tr>
      <w:tr w:rsidR="0051037C" w:rsidRPr="007504E6" w14:paraId="2C180F68" w14:textId="77777777" w:rsidTr="00431C6E">
        <w:tc>
          <w:tcPr>
            <w:cnfStyle w:val="001000000000" w:firstRow="0" w:lastRow="0" w:firstColumn="1" w:lastColumn="0" w:oddVBand="0" w:evenVBand="0" w:oddHBand="0" w:evenHBand="0" w:firstRowFirstColumn="0" w:firstRowLastColumn="0" w:lastRowFirstColumn="0" w:lastRowLastColumn="0"/>
            <w:tcW w:w="1863" w:type="dxa"/>
          </w:tcPr>
          <w:p w14:paraId="26F62B8B" w14:textId="77777777" w:rsidR="0051037C" w:rsidRPr="007504E6" w:rsidRDefault="0051037C" w:rsidP="0051037C">
            <w:pPr>
              <w:spacing w:line="240" w:lineRule="auto"/>
              <w:ind w:firstLine="0"/>
              <w:rPr>
                <w:rFonts w:ascii="Times New Roman" w:hAnsi="Times New Roman" w:cs="Times New Roman"/>
                <w:lang w:val="en-GB"/>
              </w:rPr>
            </w:pPr>
          </w:p>
        </w:tc>
        <w:tc>
          <w:tcPr>
            <w:cnfStyle w:val="000010000000" w:firstRow="0" w:lastRow="0" w:firstColumn="0" w:lastColumn="0" w:oddVBand="1" w:evenVBand="0" w:oddHBand="0" w:evenHBand="0" w:firstRowFirstColumn="0" w:firstRowLastColumn="0" w:lastRowFirstColumn="0" w:lastRowLastColumn="0"/>
            <w:tcW w:w="1577" w:type="dxa"/>
          </w:tcPr>
          <w:p w14:paraId="4CF14278" w14:textId="5C3E0123" w:rsidR="0051037C" w:rsidRPr="007504E6" w:rsidRDefault="0051037C" w:rsidP="0051037C">
            <w:pPr>
              <w:spacing w:line="240" w:lineRule="auto"/>
              <w:ind w:firstLine="0"/>
              <w:jc w:val="center"/>
              <w:rPr>
                <w:rFonts w:ascii="Times New Roman" w:hAnsi="Times New Roman" w:cs="Times New Roman"/>
                <w:lang w:val="en-GB"/>
              </w:rPr>
            </w:pPr>
            <w:r w:rsidRPr="007504E6">
              <w:rPr>
                <w:lang w:val="en-GB"/>
              </w:rPr>
              <w:t>2020</w:t>
            </w:r>
          </w:p>
        </w:tc>
        <w:tc>
          <w:tcPr>
            <w:tcW w:w="1578" w:type="dxa"/>
          </w:tcPr>
          <w:p w14:paraId="5E8FE0AA" w14:textId="11F2E2CC" w:rsidR="0051037C" w:rsidRPr="007504E6" w:rsidRDefault="0051037C" w:rsidP="0051037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lang w:val="en-GB"/>
              </w:rPr>
              <w:t>2021</w:t>
            </w:r>
          </w:p>
        </w:tc>
        <w:tc>
          <w:tcPr>
            <w:cnfStyle w:val="000010000000" w:firstRow="0" w:lastRow="0" w:firstColumn="0" w:lastColumn="0" w:oddVBand="1" w:evenVBand="0" w:oddHBand="0" w:evenHBand="0" w:firstRowFirstColumn="0" w:firstRowLastColumn="0" w:lastRowFirstColumn="0" w:lastRowLastColumn="0"/>
            <w:tcW w:w="1578" w:type="dxa"/>
          </w:tcPr>
          <w:p w14:paraId="50AAC940" w14:textId="6D19C9FD" w:rsidR="0051037C" w:rsidRPr="007504E6" w:rsidRDefault="0051037C" w:rsidP="0051037C">
            <w:pPr>
              <w:spacing w:line="240" w:lineRule="auto"/>
              <w:ind w:firstLine="0"/>
              <w:jc w:val="center"/>
              <w:rPr>
                <w:rFonts w:ascii="Times New Roman" w:hAnsi="Times New Roman" w:cs="Times New Roman"/>
                <w:lang w:val="en-GB"/>
              </w:rPr>
            </w:pPr>
            <w:r w:rsidRPr="007504E6">
              <w:rPr>
                <w:lang w:val="en-GB"/>
              </w:rPr>
              <w:t>...</w:t>
            </w:r>
          </w:p>
        </w:tc>
        <w:tc>
          <w:tcPr>
            <w:tcW w:w="1578" w:type="dxa"/>
          </w:tcPr>
          <w:p w14:paraId="42F780E1" w14:textId="3329D1B7" w:rsidR="0051037C" w:rsidRPr="007504E6" w:rsidRDefault="0051037C" w:rsidP="0051037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lang w:val="en-GB"/>
              </w:rPr>
              <w:t>2024</w:t>
            </w:r>
          </w:p>
        </w:tc>
      </w:tr>
      <w:tr w:rsidR="0051037C" w:rsidRPr="007504E6" w14:paraId="28FF3B4C" w14:textId="77777777" w:rsidTr="00431C6E">
        <w:tc>
          <w:tcPr>
            <w:cnfStyle w:val="001000000000" w:firstRow="0" w:lastRow="0" w:firstColumn="1" w:lastColumn="0" w:oddVBand="0" w:evenVBand="0" w:oddHBand="0" w:evenHBand="0" w:firstRowFirstColumn="0" w:firstRowLastColumn="0" w:lastRowFirstColumn="0" w:lastRowLastColumn="0"/>
            <w:tcW w:w="1863" w:type="dxa"/>
          </w:tcPr>
          <w:p w14:paraId="3213D030" w14:textId="6E127905" w:rsidR="0051037C" w:rsidRPr="007504E6" w:rsidRDefault="0051037C" w:rsidP="0051037C">
            <w:pPr>
              <w:spacing w:line="240" w:lineRule="auto"/>
              <w:ind w:firstLine="0"/>
              <w:jc w:val="left"/>
              <w:rPr>
                <w:rFonts w:ascii="Times New Roman" w:hAnsi="Times New Roman" w:cs="Times New Roman"/>
                <w:lang w:val="en-GB"/>
              </w:rPr>
            </w:pPr>
            <w:r w:rsidRPr="007504E6">
              <w:rPr>
                <w:lang w:val="en-GB"/>
              </w:rPr>
              <w:t>Object group</w:t>
            </w:r>
          </w:p>
        </w:tc>
        <w:tc>
          <w:tcPr>
            <w:cnfStyle w:val="000010000000" w:firstRow="0" w:lastRow="0" w:firstColumn="0" w:lastColumn="0" w:oddVBand="1" w:evenVBand="0" w:oddHBand="0" w:evenHBand="0" w:firstRowFirstColumn="0" w:firstRowLastColumn="0" w:lastRowFirstColumn="0" w:lastRowLastColumn="0"/>
            <w:tcW w:w="1577" w:type="dxa"/>
          </w:tcPr>
          <w:p w14:paraId="3D269F40" w14:textId="77777777" w:rsidR="0051037C" w:rsidRPr="007504E6" w:rsidRDefault="0051037C" w:rsidP="0051037C">
            <w:pPr>
              <w:spacing w:line="240" w:lineRule="auto"/>
              <w:ind w:firstLine="0"/>
              <w:rPr>
                <w:rFonts w:ascii="Times New Roman" w:hAnsi="Times New Roman" w:cs="Times New Roman"/>
                <w:lang w:val="en-GB"/>
              </w:rPr>
            </w:pPr>
          </w:p>
        </w:tc>
        <w:tc>
          <w:tcPr>
            <w:tcW w:w="1578" w:type="dxa"/>
          </w:tcPr>
          <w:p w14:paraId="0DB81D9D" w14:textId="77777777" w:rsidR="0051037C" w:rsidRPr="007504E6" w:rsidRDefault="0051037C" w:rsidP="0051037C">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tc>
        <w:tc>
          <w:tcPr>
            <w:cnfStyle w:val="000010000000" w:firstRow="0" w:lastRow="0" w:firstColumn="0" w:lastColumn="0" w:oddVBand="1" w:evenVBand="0" w:oddHBand="0" w:evenHBand="0" w:firstRowFirstColumn="0" w:firstRowLastColumn="0" w:lastRowFirstColumn="0" w:lastRowLastColumn="0"/>
            <w:tcW w:w="1578" w:type="dxa"/>
          </w:tcPr>
          <w:p w14:paraId="6B54CED3" w14:textId="77777777" w:rsidR="0051037C" w:rsidRPr="007504E6" w:rsidRDefault="0051037C" w:rsidP="0051037C">
            <w:pPr>
              <w:spacing w:line="240" w:lineRule="auto"/>
              <w:ind w:firstLine="0"/>
              <w:rPr>
                <w:rFonts w:ascii="Times New Roman" w:hAnsi="Times New Roman" w:cs="Times New Roman"/>
                <w:lang w:val="en-GB"/>
              </w:rPr>
            </w:pPr>
          </w:p>
        </w:tc>
        <w:tc>
          <w:tcPr>
            <w:tcW w:w="1578" w:type="dxa"/>
          </w:tcPr>
          <w:p w14:paraId="2F8F56BC" w14:textId="77777777" w:rsidR="0051037C" w:rsidRPr="007504E6" w:rsidRDefault="0051037C" w:rsidP="0051037C">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tc>
      </w:tr>
      <w:tr w:rsidR="0051037C" w:rsidRPr="007504E6" w14:paraId="22BB8D71" w14:textId="77777777" w:rsidTr="00431C6E">
        <w:tc>
          <w:tcPr>
            <w:cnfStyle w:val="001000000000" w:firstRow="0" w:lastRow="0" w:firstColumn="1" w:lastColumn="0" w:oddVBand="0" w:evenVBand="0" w:oddHBand="0" w:evenHBand="0" w:firstRowFirstColumn="0" w:firstRowLastColumn="0" w:lastRowFirstColumn="0" w:lastRowLastColumn="0"/>
            <w:tcW w:w="1863" w:type="dxa"/>
          </w:tcPr>
          <w:p w14:paraId="629293A5" w14:textId="4B7A2B27" w:rsidR="0051037C" w:rsidRPr="007504E6" w:rsidRDefault="0051037C" w:rsidP="0051037C">
            <w:pPr>
              <w:spacing w:line="240" w:lineRule="auto"/>
              <w:ind w:firstLine="0"/>
              <w:jc w:val="left"/>
              <w:rPr>
                <w:rFonts w:ascii="Times New Roman" w:hAnsi="Times New Roman" w:cs="Times New Roman"/>
                <w:lang w:val="en-GB"/>
              </w:rPr>
            </w:pPr>
            <w:r w:rsidRPr="007504E6">
              <w:rPr>
                <w:lang w:val="en-GB"/>
              </w:rPr>
              <w:t>- type of resources</w:t>
            </w:r>
          </w:p>
        </w:tc>
        <w:tc>
          <w:tcPr>
            <w:cnfStyle w:val="000010000000" w:firstRow="0" w:lastRow="0" w:firstColumn="0" w:lastColumn="0" w:oddVBand="1" w:evenVBand="0" w:oddHBand="0" w:evenHBand="0" w:firstRowFirstColumn="0" w:firstRowLastColumn="0" w:lastRowFirstColumn="0" w:lastRowLastColumn="0"/>
            <w:tcW w:w="1577" w:type="dxa"/>
          </w:tcPr>
          <w:p w14:paraId="2C371442" w14:textId="77777777" w:rsidR="0051037C" w:rsidRPr="007504E6" w:rsidRDefault="0051037C" w:rsidP="0051037C">
            <w:pPr>
              <w:spacing w:line="240" w:lineRule="auto"/>
              <w:ind w:firstLine="0"/>
              <w:rPr>
                <w:rFonts w:ascii="Times New Roman" w:hAnsi="Times New Roman" w:cs="Times New Roman"/>
                <w:lang w:val="en-GB"/>
              </w:rPr>
            </w:pPr>
          </w:p>
        </w:tc>
        <w:tc>
          <w:tcPr>
            <w:tcW w:w="1578" w:type="dxa"/>
          </w:tcPr>
          <w:p w14:paraId="5810F05B" w14:textId="77777777" w:rsidR="0051037C" w:rsidRPr="007504E6" w:rsidRDefault="0051037C" w:rsidP="0051037C">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tc>
        <w:tc>
          <w:tcPr>
            <w:cnfStyle w:val="000010000000" w:firstRow="0" w:lastRow="0" w:firstColumn="0" w:lastColumn="0" w:oddVBand="1" w:evenVBand="0" w:oddHBand="0" w:evenHBand="0" w:firstRowFirstColumn="0" w:firstRowLastColumn="0" w:lastRowFirstColumn="0" w:lastRowLastColumn="0"/>
            <w:tcW w:w="1578" w:type="dxa"/>
          </w:tcPr>
          <w:p w14:paraId="1CE1BEBC" w14:textId="77777777" w:rsidR="0051037C" w:rsidRPr="007504E6" w:rsidRDefault="0051037C" w:rsidP="0051037C">
            <w:pPr>
              <w:spacing w:line="240" w:lineRule="auto"/>
              <w:ind w:firstLine="0"/>
              <w:rPr>
                <w:rFonts w:ascii="Times New Roman" w:hAnsi="Times New Roman" w:cs="Times New Roman"/>
                <w:lang w:val="en-GB"/>
              </w:rPr>
            </w:pPr>
          </w:p>
        </w:tc>
        <w:tc>
          <w:tcPr>
            <w:tcW w:w="1578" w:type="dxa"/>
          </w:tcPr>
          <w:p w14:paraId="1B5EE673" w14:textId="77777777" w:rsidR="0051037C" w:rsidRPr="007504E6" w:rsidRDefault="0051037C" w:rsidP="0051037C">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tc>
      </w:tr>
      <w:tr w:rsidR="0051037C" w:rsidRPr="007504E6" w14:paraId="1E2E34F5" w14:textId="77777777" w:rsidTr="00431C6E">
        <w:tc>
          <w:tcPr>
            <w:cnfStyle w:val="001000000000" w:firstRow="0" w:lastRow="0" w:firstColumn="1" w:lastColumn="0" w:oddVBand="0" w:evenVBand="0" w:oddHBand="0" w:evenHBand="0" w:firstRowFirstColumn="0" w:firstRowLastColumn="0" w:lastRowFirstColumn="0" w:lastRowLastColumn="0"/>
            <w:tcW w:w="1863" w:type="dxa"/>
          </w:tcPr>
          <w:p w14:paraId="102DDC5B" w14:textId="42A097DF" w:rsidR="0051037C" w:rsidRPr="007504E6" w:rsidRDefault="0051037C" w:rsidP="0051037C">
            <w:pPr>
              <w:spacing w:line="240" w:lineRule="auto"/>
              <w:ind w:firstLine="0"/>
              <w:jc w:val="left"/>
              <w:rPr>
                <w:rFonts w:ascii="Times New Roman" w:hAnsi="Times New Roman" w:cs="Times New Roman"/>
                <w:lang w:val="en-GB"/>
              </w:rPr>
            </w:pPr>
            <w:r w:rsidRPr="007504E6">
              <w:rPr>
                <w:lang w:val="en-GB"/>
              </w:rPr>
              <w:t>- type of resources</w:t>
            </w:r>
          </w:p>
        </w:tc>
        <w:tc>
          <w:tcPr>
            <w:cnfStyle w:val="000010000000" w:firstRow="0" w:lastRow="0" w:firstColumn="0" w:lastColumn="0" w:oddVBand="1" w:evenVBand="0" w:oddHBand="0" w:evenHBand="0" w:firstRowFirstColumn="0" w:firstRowLastColumn="0" w:lastRowFirstColumn="0" w:lastRowLastColumn="0"/>
            <w:tcW w:w="1577" w:type="dxa"/>
          </w:tcPr>
          <w:p w14:paraId="4A6B3A4B" w14:textId="77777777" w:rsidR="0051037C" w:rsidRPr="007504E6" w:rsidRDefault="0051037C" w:rsidP="0051037C">
            <w:pPr>
              <w:spacing w:line="240" w:lineRule="auto"/>
              <w:ind w:firstLine="0"/>
              <w:rPr>
                <w:rFonts w:ascii="Times New Roman" w:hAnsi="Times New Roman" w:cs="Times New Roman"/>
                <w:lang w:val="en-GB"/>
              </w:rPr>
            </w:pPr>
          </w:p>
        </w:tc>
        <w:tc>
          <w:tcPr>
            <w:tcW w:w="1578" w:type="dxa"/>
          </w:tcPr>
          <w:p w14:paraId="0EA821AC" w14:textId="77777777" w:rsidR="0051037C" w:rsidRPr="007504E6" w:rsidRDefault="0051037C" w:rsidP="0051037C">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tc>
        <w:tc>
          <w:tcPr>
            <w:cnfStyle w:val="000010000000" w:firstRow="0" w:lastRow="0" w:firstColumn="0" w:lastColumn="0" w:oddVBand="1" w:evenVBand="0" w:oddHBand="0" w:evenHBand="0" w:firstRowFirstColumn="0" w:firstRowLastColumn="0" w:lastRowFirstColumn="0" w:lastRowLastColumn="0"/>
            <w:tcW w:w="1578" w:type="dxa"/>
          </w:tcPr>
          <w:p w14:paraId="63206F77" w14:textId="77777777" w:rsidR="0051037C" w:rsidRPr="007504E6" w:rsidRDefault="0051037C" w:rsidP="0051037C">
            <w:pPr>
              <w:spacing w:line="240" w:lineRule="auto"/>
              <w:ind w:firstLine="0"/>
              <w:rPr>
                <w:rFonts w:ascii="Times New Roman" w:hAnsi="Times New Roman" w:cs="Times New Roman"/>
                <w:lang w:val="en-GB"/>
              </w:rPr>
            </w:pPr>
          </w:p>
        </w:tc>
        <w:tc>
          <w:tcPr>
            <w:tcW w:w="1578" w:type="dxa"/>
          </w:tcPr>
          <w:p w14:paraId="6E6119F8" w14:textId="77777777" w:rsidR="0051037C" w:rsidRPr="007504E6" w:rsidRDefault="0051037C" w:rsidP="0051037C">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tc>
      </w:tr>
      <w:tr w:rsidR="0051037C" w:rsidRPr="007504E6" w14:paraId="01C0EE19" w14:textId="77777777" w:rsidTr="00431C6E">
        <w:tc>
          <w:tcPr>
            <w:cnfStyle w:val="001000000000" w:firstRow="0" w:lastRow="0" w:firstColumn="1" w:lastColumn="0" w:oddVBand="0" w:evenVBand="0" w:oddHBand="0" w:evenHBand="0" w:firstRowFirstColumn="0" w:firstRowLastColumn="0" w:lastRowFirstColumn="0" w:lastRowLastColumn="0"/>
            <w:tcW w:w="1863" w:type="dxa"/>
          </w:tcPr>
          <w:p w14:paraId="6DB26A33" w14:textId="604FAF41" w:rsidR="0051037C" w:rsidRPr="007504E6" w:rsidRDefault="0051037C" w:rsidP="0051037C">
            <w:pPr>
              <w:spacing w:line="240" w:lineRule="auto"/>
              <w:ind w:firstLine="0"/>
              <w:jc w:val="left"/>
              <w:rPr>
                <w:rFonts w:ascii="Times New Roman" w:hAnsi="Times New Roman" w:cs="Times New Roman"/>
                <w:lang w:val="en-GB"/>
              </w:rPr>
            </w:pPr>
            <w:r w:rsidRPr="007504E6">
              <w:rPr>
                <w:lang w:val="en-GB"/>
              </w:rPr>
              <w:t>Object group</w:t>
            </w:r>
          </w:p>
        </w:tc>
        <w:tc>
          <w:tcPr>
            <w:cnfStyle w:val="000010000000" w:firstRow="0" w:lastRow="0" w:firstColumn="0" w:lastColumn="0" w:oddVBand="1" w:evenVBand="0" w:oddHBand="0" w:evenHBand="0" w:firstRowFirstColumn="0" w:firstRowLastColumn="0" w:lastRowFirstColumn="0" w:lastRowLastColumn="0"/>
            <w:tcW w:w="1577" w:type="dxa"/>
          </w:tcPr>
          <w:p w14:paraId="70A12681" w14:textId="77777777" w:rsidR="0051037C" w:rsidRPr="007504E6" w:rsidRDefault="0051037C" w:rsidP="0051037C">
            <w:pPr>
              <w:spacing w:line="240" w:lineRule="auto"/>
              <w:ind w:firstLine="0"/>
              <w:rPr>
                <w:rFonts w:ascii="Times New Roman" w:hAnsi="Times New Roman" w:cs="Times New Roman"/>
                <w:lang w:val="en-GB"/>
              </w:rPr>
            </w:pPr>
          </w:p>
        </w:tc>
        <w:tc>
          <w:tcPr>
            <w:tcW w:w="1578" w:type="dxa"/>
          </w:tcPr>
          <w:p w14:paraId="714F05FE" w14:textId="77777777" w:rsidR="0051037C" w:rsidRPr="007504E6" w:rsidRDefault="0051037C" w:rsidP="0051037C">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tc>
        <w:tc>
          <w:tcPr>
            <w:cnfStyle w:val="000010000000" w:firstRow="0" w:lastRow="0" w:firstColumn="0" w:lastColumn="0" w:oddVBand="1" w:evenVBand="0" w:oddHBand="0" w:evenHBand="0" w:firstRowFirstColumn="0" w:firstRowLastColumn="0" w:lastRowFirstColumn="0" w:lastRowLastColumn="0"/>
            <w:tcW w:w="1578" w:type="dxa"/>
          </w:tcPr>
          <w:p w14:paraId="7FA5C719" w14:textId="77777777" w:rsidR="0051037C" w:rsidRPr="007504E6" w:rsidRDefault="0051037C" w:rsidP="0051037C">
            <w:pPr>
              <w:spacing w:line="240" w:lineRule="auto"/>
              <w:ind w:firstLine="0"/>
              <w:rPr>
                <w:rFonts w:ascii="Times New Roman" w:hAnsi="Times New Roman" w:cs="Times New Roman"/>
                <w:lang w:val="en-GB"/>
              </w:rPr>
            </w:pPr>
          </w:p>
        </w:tc>
        <w:tc>
          <w:tcPr>
            <w:tcW w:w="1578" w:type="dxa"/>
          </w:tcPr>
          <w:p w14:paraId="15D40498" w14:textId="77777777" w:rsidR="0051037C" w:rsidRPr="007504E6" w:rsidRDefault="0051037C" w:rsidP="0051037C">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tc>
      </w:tr>
      <w:tr w:rsidR="0051037C" w:rsidRPr="007504E6" w14:paraId="0FF324A5" w14:textId="77777777" w:rsidTr="00431C6E">
        <w:tc>
          <w:tcPr>
            <w:cnfStyle w:val="001000000000" w:firstRow="0" w:lastRow="0" w:firstColumn="1" w:lastColumn="0" w:oddVBand="0" w:evenVBand="0" w:oddHBand="0" w:evenHBand="0" w:firstRowFirstColumn="0" w:firstRowLastColumn="0" w:lastRowFirstColumn="0" w:lastRowLastColumn="0"/>
            <w:tcW w:w="1863" w:type="dxa"/>
          </w:tcPr>
          <w:p w14:paraId="617AF55E" w14:textId="54EFE2BA" w:rsidR="0051037C" w:rsidRPr="007504E6" w:rsidRDefault="0051037C" w:rsidP="0051037C">
            <w:pPr>
              <w:spacing w:line="240" w:lineRule="auto"/>
              <w:ind w:firstLine="0"/>
              <w:jc w:val="left"/>
              <w:rPr>
                <w:rFonts w:ascii="Times New Roman" w:hAnsi="Times New Roman" w:cs="Times New Roman"/>
                <w:lang w:val="en-GB"/>
              </w:rPr>
            </w:pPr>
            <w:r w:rsidRPr="007504E6">
              <w:rPr>
                <w:lang w:val="en-GB"/>
              </w:rPr>
              <w:t>- type of resources</w:t>
            </w:r>
          </w:p>
        </w:tc>
        <w:tc>
          <w:tcPr>
            <w:cnfStyle w:val="000010000000" w:firstRow="0" w:lastRow="0" w:firstColumn="0" w:lastColumn="0" w:oddVBand="1" w:evenVBand="0" w:oddHBand="0" w:evenHBand="0" w:firstRowFirstColumn="0" w:firstRowLastColumn="0" w:lastRowFirstColumn="0" w:lastRowLastColumn="0"/>
            <w:tcW w:w="1577" w:type="dxa"/>
          </w:tcPr>
          <w:p w14:paraId="45241182" w14:textId="77777777" w:rsidR="0051037C" w:rsidRPr="007504E6" w:rsidRDefault="0051037C" w:rsidP="0051037C">
            <w:pPr>
              <w:spacing w:line="240" w:lineRule="auto"/>
              <w:ind w:firstLine="0"/>
              <w:rPr>
                <w:rFonts w:ascii="Times New Roman" w:hAnsi="Times New Roman" w:cs="Times New Roman"/>
                <w:lang w:val="en-GB"/>
              </w:rPr>
            </w:pPr>
          </w:p>
        </w:tc>
        <w:tc>
          <w:tcPr>
            <w:tcW w:w="1578" w:type="dxa"/>
          </w:tcPr>
          <w:p w14:paraId="13C08A76" w14:textId="77777777" w:rsidR="0051037C" w:rsidRPr="007504E6" w:rsidRDefault="0051037C" w:rsidP="0051037C">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tc>
        <w:tc>
          <w:tcPr>
            <w:cnfStyle w:val="000010000000" w:firstRow="0" w:lastRow="0" w:firstColumn="0" w:lastColumn="0" w:oddVBand="1" w:evenVBand="0" w:oddHBand="0" w:evenHBand="0" w:firstRowFirstColumn="0" w:firstRowLastColumn="0" w:lastRowFirstColumn="0" w:lastRowLastColumn="0"/>
            <w:tcW w:w="1578" w:type="dxa"/>
          </w:tcPr>
          <w:p w14:paraId="5C8C895D" w14:textId="77777777" w:rsidR="0051037C" w:rsidRPr="007504E6" w:rsidRDefault="0051037C" w:rsidP="0051037C">
            <w:pPr>
              <w:spacing w:line="240" w:lineRule="auto"/>
              <w:ind w:firstLine="0"/>
              <w:rPr>
                <w:rFonts w:ascii="Times New Roman" w:hAnsi="Times New Roman" w:cs="Times New Roman"/>
                <w:lang w:val="en-GB"/>
              </w:rPr>
            </w:pPr>
          </w:p>
        </w:tc>
        <w:tc>
          <w:tcPr>
            <w:tcW w:w="1578" w:type="dxa"/>
          </w:tcPr>
          <w:p w14:paraId="167E8CFB" w14:textId="77777777" w:rsidR="0051037C" w:rsidRPr="007504E6" w:rsidRDefault="0051037C" w:rsidP="0051037C">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tc>
      </w:tr>
      <w:tr w:rsidR="0051037C" w:rsidRPr="007504E6" w14:paraId="31DE4E77" w14:textId="77777777" w:rsidTr="00431C6E">
        <w:tc>
          <w:tcPr>
            <w:cnfStyle w:val="001000000000" w:firstRow="0" w:lastRow="0" w:firstColumn="1" w:lastColumn="0" w:oddVBand="0" w:evenVBand="0" w:oddHBand="0" w:evenHBand="0" w:firstRowFirstColumn="0" w:firstRowLastColumn="0" w:lastRowFirstColumn="0" w:lastRowLastColumn="0"/>
            <w:tcW w:w="1863" w:type="dxa"/>
          </w:tcPr>
          <w:p w14:paraId="7DD18EE7" w14:textId="6FC64FD4" w:rsidR="0051037C" w:rsidRPr="007504E6" w:rsidRDefault="0051037C" w:rsidP="0051037C">
            <w:pPr>
              <w:spacing w:line="240" w:lineRule="auto"/>
              <w:ind w:firstLine="0"/>
              <w:jc w:val="left"/>
              <w:rPr>
                <w:rFonts w:ascii="Times New Roman" w:hAnsi="Times New Roman" w:cs="Times New Roman"/>
                <w:lang w:val="en-GB"/>
              </w:rPr>
            </w:pPr>
            <w:r w:rsidRPr="007504E6">
              <w:rPr>
                <w:lang w:val="en-GB"/>
              </w:rPr>
              <w:t>- …</w:t>
            </w:r>
          </w:p>
        </w:tc>
        <w:tc>
          <w:tcPr>
            <w:cnfStyle w:val="000010000000" w:firstRow="0" w:lastRow="0" w:firstColumn="0" w:lastColumn="0" w:oddVBand="1" w:evenVBand="0" w:oddHBand="0" w:evenHBand="0" w:firstRowFirstColumn="0" w:firstRowLastColumn="0" w:lastRowFirstColumn="0" w:lastRowLastColumn="0"/>
            <w:tcW w:w="1577" w:type="dxa"/>
          </w:tcPr>
          <w:p w14:paraId="6B642043" w14:textId="77777777" w:rsidR="0051037C" w:rsidRPr="007504E6" w:rsidRDefault="0051037C" w:rsidP="0051037C">
            <w:pPr>
              <w:spacing w:line="240" w:lineRule="auto"/>
              <w:ind w:firstLine="0"/>
              <w:rPr>
                <w:rFonts w:ascii="Times New Roman" w:hAnsi="Times New Roman" w:cs="Times New Roman"/>
                <w:lang w:val="en-GB"/>
              </w:rPr>
            </w:pPr>
          </w:p>
        </w:tc>
        <w:tc>
          <w:tcPr>
            <w:tcW w:w="1578" w:type="dxa"/>
          </w:tcPr>
          <w:p w14:paraId="7B369D5A" w14:textId="77777777" w:rsidR="0051037C" w:rsidRPr="007504E6" w:rsidRDefault="0051037C" w:rsidP="0051037C">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tc>
        <w:tc>
          <w:tcPr>
            <w:cnfStyle w:val="000010000000" w:firstRow="0" w:lastRow="0" w:firstColumn="0" w:lastColumn="0" w:oddVBand="1" w:evenVBand="0" w:oddHBand="0" w:evenHBand="0" w:firstRowFirstColumn="0" w:firstRowLastColumn="0" w:lastRowFirstColumn="0" w:lastRowLastColumn="0"/>
            <w:tcW w:w="1578" w:type="dxa"/>
          </w:tcPr>
          <w:p w14:paraId="793F7F00" w14:textId="77777777" w:rsidR="0051037C" w:rsidRPr="007504E6" w:rsidRDefault="0051037C" w:rsidP="0051037C">
            <w:pPr>
              <w:spacing w:line="240" w:lineRule="auto"/>
              <w:ind w:firstLine="0"/>
              <w:rPr>
                <w:rFonts w:ascii="Times New Roman" w:hAnsi="Times New Roman" w:cs="Times New Roman"/>
                <w:lang w:val="en-GB"/>
              </w:rPr>
            </w:pPr>
          </w:p>
        </w:tc>
        <w:tc>
          <w:tcPr>
            <w:tcW w:w="1578" w:type="dxa"/>
          </w:tcPr>
          <w:p w14:paraId="13F82634" w14:textId="77777777" w:rsidR="0051037C" w:rsidRPr="007504E6" w:rsidRDefault="0051037C" w:rsidP="0051037C">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tc>
      </w:tr>
    </w:tbl>
    <w:p w14:paraId="38A5BE39" w14:textId="77777777" w:rsidR="00BB3CB6" w:rsidRPr="007504E6" w:rsidRDefault="00BB3CB6" w:rsidP="00BB3CB6">
      <w:pPr>
        <w:spacing w:line="240" w:lineRule="auto"/>
        <w:ind w:firstLine="0"/>
        <w:rPr>
          <w:rFonts w:ascii="Times New Roman" w:hAnsi="Times New Roman" w:cs="Times New Roman"/>
          <w:lang w:val="en-GB"/>
        </w:rPr>
      </w:pPr>
    </w:p>
    <w:p w14:paraId="6B0132F0" w14:textId="73C59584" w:rsidR="00C23EDC" w:rsidRPr="007504E6" w:rsidRDefault="00C23EDC" w:rsidP="00C23EDC">
      <w:pPr>
        <w:spacing w:line="240" w:lineRule="auto"/>
        <w:ind w:firstLine="0"/>
        <w:rPr>
          <w:rFonts w:ascii="Times New Roman" w:hAnsi="Times New Roman" w:cs="Times New Roman"/>
          <w:lang w:val="en-GB"/>
        </w:rPr>
      </w:pPr>
      <w:r w:rsidRPr="007504E6">
        <w:rPr>
          <w:rFonts w:ascii="Times New Roman" w:hAnsi="Times New Roman" w:cs="Times New Roman"/>
          <w:lang w:val="en-GB"/>
        </w:rPr>
        <w:t>As part of the expertise, expert assessments of external and internal factors influencing cost changes were obtained. The degree of influence of factors was assessed on the scales of scores, scores and direct ratings.</w:t>
      </w:r>
    </w:p>
    <w:p w14:paraId="7E05E209" w14:textId="77777777" w:rsidR="00C23EDC" w:rsidRPr="007504E6" w:rsidRDefault="00C23EDC" w:rsidP="00C23EDC">
      <w:pPr>
        <w:spacing w:line="240" w:lineRule="auto"/>
        <w:ind w:firstLine="0"/>
        <w:rPr>
          <w:rFonts w:ascii="Times New Roman" w:hAnsi="Times New Roman" w:cs="Times New Roman"/>
          <w:lang w:val="en-GB"/>
        </w:rPr>
      </w:pPr>
    </w:p>
    <w:p w14:paraId="280C10C2" w14:textId="42BD617D" w:rsidR="00C23EDC" w:rsidRPr="007504E6" w:rsidRDefault="00C23EDC" w:rsidP="00C23EDC">
      <w:pPr>
        <w:spacing w:line="240" w:lineRule="auto"/>
        <w:ind w:firstLine="0"/>
        <w:rPr>
          <w:rFonts w:ascii="Times New Roman" w:hAnsi="Times New Roman" w:cs="Times New Roman"/>
          <w:lang w:val="en-GB"/>
        </w:rPr>
      </w:pPr>
      <w:r w:rsidRPr="007504E6">
        <w:rPr>
          <w:rFonts w:ascii="Times New Roman" w:hAnsi="Times New Roman" w:cs="Times New Roman"/>
          <w:lang w:val="en-GB"/>
        </w:rPr>
        <w:t>Ranking rating was used to identify the most significant influencing factors. For the proposed list of factors, the experts ranked the factors in a certain order from 1 to n, where n is the number of factors in the group. Several groups were distinguished for the factors, for example, external and internal factors, or additional groups depending on the specifics of the studied group of objects. The specified factor rank of 1 indicates the factor with the highest impact on cost changes.</w:t>
      </w:r>
    </w:p>
    <w:p w14:paraId="7651D9BD" w14:textId="77777777" w:rsidR="00C23EDC" w:rsidRPr="007504E6" w:rsidRDefault="00C23EDC" w:rsidP="00C23EDC">
      <w:pPr>
        <w:spacing w:line="240" w:lineRule="auto"/>
        <w:ind w:firstLine="0"/>
        <w:rPr>
          <w:rFonts w:ascii="Times New Roman" w:hAnsi="Times New Roman" w:cs="Times New Roman"/>
          <w:lang w:val="en-GB"/>
        </w:rPr>
      </w:pPr>
    </w:p>
    <w:p w14:paraId="71EBA7C8" w14:textId="3D1B25FD" w:rsidR="00C23EDC" w:rsidRPr="007504E6" w:rsidRDefault="00C23EDC" w:rsidP="00C23EDC">
      <w:pPr>
        <w:spacing w:line="240" w:lineRule="auto"/>
        <w:ind w:firstLine="0"/>
        <w:rPr>
          <w:rFonts w:ascii="Times New Roman" w:hAnsi="Times New Roman" w:cs="Times New Roman"/>
          <w:lang w:val="en-GB"/>
        </w:rPr>
      </w:pPr>
      <w:r w:rsidRPr="007504E6">
        <w:rPr>
          <w:rFonts w:ascii="Times New Roman" w:hAnsi="Times New Roman" w:cs="Times New Roman"/>
          <w:lang w:val="en-GB"/>
        </w:rPr>
        <w:t>The most important influencing factor was used in the evaluation of the score scale to assess the degree of impact. In the list of factors, the experts gave an assessment on a 10-point scale, where a higher score indicates a greater impact of the factor under consideration on changes in construction costs in the relevant group of objects and / or in the form of resources.</w:t>
      </w:r>
    </w:p>
    <w:p w14:paraId="558D3E57" w14:textId="77777777" w:rsidR="00C23EDC" w:rsidRPr="007504E6" w:rsidRDefault="00C23EDC" w:rsidP="00C23EDC">
      <w:pPr>
        <w:spacing w:line="240" w:lineRule="auto"/>
        <w:ind w:firstLine="0"/>
        <w:rPr>
          <w:rFonts w:ascii="Times New Roman" w:hAnsi="Times New Roman" w:cs="Times New Roman"/>
          <w:lang w:val="en-GB"/>
        </w:rPr>
      </w:pPr>
    </w:p>
    <w:p w14:paraId="7890A488" w14:textId="269D6ADF" w:rsidR="00C23EDC" w:rsidRPr="007504E6" w:rsidRDefault="00C23EDC" w:rsidP="00C23EDC">
      <w:pPr>
        <w:spacing w:line="240" w:lineRule="auto"/>
        <w:ind w:firstLine="0"/>
        <w:rPr>
          <w:rFonts w:ascii="Times New Roman" w:hAnsi="Times New Roman" w:cs="Times New Roman"/>
          <w:lang w:val="en-GB"/>
        </w:rPr>
      </w:pPr>
      <w:r w:rsidRPr="007504E6">
        <w:rPr>
          <w:rFonts w:ascii="Times New Roman" w:hAnsi="Times New Roman" w:cs="Times New Roman"/>
          <w:lang w:val="en-GB"/>
        </w:rPr>
        <w:t>The expertise has two main stages - a general expert interview and an expert interview in groups of objects. Each of the expert groups has a different approach to defining the pool of experts.</w:t>
      </w:r>
    </w:p>
    <w:p w14:paraId="0019A9A2" w14:textId="77777777" w:rsidR="00C23EDC" w:rsidRPr="007504E6" w:rsidRDefault="00C23EDC" w:rsidP="00C23EDC">
      <w:pPr>
        <w:spacing w:line="240" w:lineRule="auto"/>
        <w:ind w:firstLine="0"/>
        <w:rPr>
          <w:rFonts w:ascii="Times New Roman" w:hAnsi="Times New Roman" w:cs="Times New Roman"/>
          <w:lang w:val="en-GB"/>
        </w:rPr>
      </w:pPr>
    </w:p>
    <w:p w14:paraId="33AFE1C0" w14:textId="6004DF6E" w:rsidR="00D64C5F" w:rsidRPr="007504E6" w:rsidRDefault="00C23EDC" w:rsidP="00C23EDC">
      <w:pPr>
        <w:spacing w:line="240" w:lineRule="auto"/>
        <w:ind w:firstLine="0"/>
        <w:rPr>
          <w:rFonts w:ascii="Times New Roman" w:hAnsi="Times New Roman" w:cs="Times New Roman"/>
          <w:lang w:val="en-GB"/>
        </w:rPr>
      </w:pPr>
      <w:r w:rsidRPr="007504E6">
        <w:rPr>
          <w:rFonts w:ascii="Times New Roman" w:hAnsi="Times New Roman" w:cs="Times New Roman"/>
          <w:lang w:val="en-GB"/>
        </w:rPr>
        <w:t>In the general expert interview, experts from the construction industry were involved, without dividing them into groups of objects. As well as in the general expert interview, macroeconomic experts were involved in the assessment, whose area of competence includes the assessment of the impact of construction on the economy. The task of this group of experts was to identify factors that have a significant impact on changes in construction costs, as well as to make a general assessment of the development trends of the construction industry and costs</w:t>
      </w:r>
      <w:r w:rsidR="00D64C5F" w:rsidRPr="007504E6">
        <w:rPr>
          <w:rFonts w:ascii="Times New Roman" w:hAnsi="Times New Roman" w:cs="Times New Roman"/>
          <w:lang w:val="en-GB"/>
        </w:rPr>
        <w:t>.</w:t>
      </w:r>
    </w:p>
    <w:p w14:paraId="0607B37B" w14:textId="77777777" w:rsidR="00BB3CB6" w:rsidRPr="007504E6" w:rsidRDefault="00BB3CB6" w:rsidP="00BB3CB6">
      <w:pPr>
        <w:spacing w:line="240" w:lineRule="auto"/>
        <w:ind w:firstLine="0"/>
        <w:rPr>
          <w:rFonts w:ascii="Times New Roman" w:hAnsi="Times New Roman" w:cs="Times New Roman"/>
          <w:lang w:val="en-GB"/>
        </w:rPr>
      </w:pPr>
    </w:p>
    <w:p w14:paraId="7D745D09" w14:textId="613235B7" w:rsidR="00D64C5F" w:rsidRPr="007504E6" w:rsidRDefault="00D07A6F" w:rsidP="00BB3CB6">
      <w:pPr>
        <w:spacing w:line="240" w:lineRule="auto"/>
        <w:ind w:firstLine="0"/>
        <w:rPr>
          <w:rFonts w:ascii="Times New Roman" w:hAnsi="Times New Roman" w:cs="Times New Roman"/>
          <w:lang w:val="en-GB"/>
        </w:rPr>
      </w:pPr>
      <w:r w:rsidRPr="007504E6">
        <w:rPr>
          <w:rFonts w:ascii="Times New Roman" w:hAnsi="Times New Roman" w:cs="Times New Roman"/>
          <w:lang w:val="en-GB"/>
        </w:rPr>
        <w:t>Experts representing</w:t>
      </w:r>
      <w:r w:rsidR="00D64C5F" w:rsidRPr="007504E6">
        <w:rPr>
          <w:rFonts w:ascii="Times New Roman" w:hAnsi="Times New Roman" w:cs="Times New Roman"/>
          <w:lang w:val="en-GB"/>
        </w:rPr>
        <w:t>:</w:t>
      </w:r>
    </w:p>
    <w:p w14:paraId="0AB18948" w14:textId="77777777" w:rsidR="00BB3CB6" w:rsidRPr="007504E6" w:rsidRDefault="00BB3CB6" w:rsidP="00BB3CB6">
      <w:pPr>
        <w:spacing w:line="240" w:lineRule="auto"/>
        <w:ind w:firstLine="0"/>
        <w:rPr>
          <w:rFonts w:ascii="Times New Roman" w:hAnsi="Times New Roman" w:cs="Times New Roman"/>
          <w:lang w:val="en-GB"/>
        </w:rPr>
      </w:pPr>
    </w:p>
    <w:p w14:paraId="40F6D23A" w14:textId="77777777" w:rsidR="00F632CC" w:rsidRPr="007504E6" w:rsidRDefault="00F632CC" w:rsidP="00F632CC">
      <w:pPr>
        <w:pStyle w:val="Sarakstarindkopa"/>
        <w:numPr>
          <w:ilvl w:val="0"/>
          <w:numId w:val="18"/>
        </w:numPr>
        <w:spacing w:line="240" w:lineRule="auto"/>
        <w:rPr>
          <w:rFonts w:ascii="Times New Roman" w:hAnsi="Times New Roman" w:cs="Times New Roman"/>
          <w:lang w:val="en-GB"/>
        </w:rPr>
      </w:pPr>
      <w:r w:rsidRPr="007504E6">
        <w:rPr>
          <w:rFonts w:ascii="Times New Roman" w:hAnsi="Times New Roman" w:cs="Times New Roman"/>
          <w:lang w:val="en-GB"/>
        </w:rPr>
        <w:t>professional trade unions and associations,</w:t>
      </w:r>
    </w:p>
    <w:p w14:paraId="57EBC519" w14:textId="77777777" w:rsidR="00F632CC" w:rsidRPr="007504E6" w:rsidRDefault="00F632CC" w:rsidP="00F632CC">
      <w:pPr>
        <w:pStyle w:val="Sarakstarindkopa"/>
        <w:numPr>
          <w:ilvl w:val="0"/>
          <w:numId w:val="18"/>
        </w:numPr>
        <w:spacing w:line="240" w:lineRule="auto"/>
        <w:rPr>
          <w:rFonts w:ascii="Times New Roman" w:hAnsi="Times New Roman" w:cs="Times New Roman"/>
          <w:lang w:val="en-GB"/>
        </w:rPr>
      </w:pPr>
      <w:r w:rsidRPr="007504E6">
        <w:rPr>
          <w:rFonts w:ascii="Times New Roman" w:hAnsi="Times New Roman" w:cs="Times New Roman"/>
          <w:lang w:val="en-GB"/>
        </w:rPr>
        <w:t>construction councils and expert groups,</w:t>
      </w:r>
    </w:p>
    <w:p w14:paraId="0AF53B9C" w14:textId="77777777" w:rsidR="00F632CC" w:rsidRPr="007504E6" w:rsidRDefault="00F632CC" w:rsidP="00F632CC">
      <w:pPr>
        <w:pStyle w:val="Sarakstarindkopa"/>
        <w:numPr>
          <w:ilvl w:val="0"/>
          <w:numId w:val="18"/>
        </w:numPr>
        <w:spacing w:line="240" w:lineRule="auto"/>
        <w:rPr>
          <w:rFonts w:ascii="Times New Roman" w:hAnsi="Times New Roman" w:cs="Times New Roman"/>
          <w:lang w:val="en-GB"/>
        </w:rPr>
      </w:pPr>
      <w:r w:rsidRPr="007504E6">
        <w:rPr>
          <w:rFonts w:ascii="Times New Roman" w:hAnsi="Times New Roman" w:cs="Times New Roman"/>
          <w:lang w:val="en-GB"/>
        </w:rPr>
        <w:t>construction-related vocational and higher education institutions and research institutes,</w:t>
      </w:r>
    </w:p>
    <w:p w14:paraId="7CFC75E2" w14:textId="77777777" w:rsidR="00F632CC" w:rsidRPr="007504E6" w:rsidRDefault="00F632CC" w:rsidP="00F632CC">
      <w:pPr>
        <w:pStyle w:val="Sarakstarindkopa"/>
        <w:numPr>
          <w:ilvl w:val="0"/>
          <w:numId w:val="18"/>
        </w:numPr>
        <w:spacing w:line="240" w:lineRule="auto"/>
        <w:rPr>
          <w:rFonts w:ascii="Times New Roman" w:hAnsi="Times New Roman" w:cs="Times New Roman"/>
          <w:lang w:val="en-GB"/>
        </w:rPr>
      </w:pPr>
      <w:r w:rsidRPr="007504E6">
        <w:rPr>
          <w:rFonts w:ascii="Times New Roman" w:hAnsi="Times New Roman" w:cs="Times New Roman"/>
          <w:lang w:val="en-GB"/>
        </w:rPr>
        <w:t>Non-governmental organizations involved in the construction sector,</w:t>
      </w:r>
    </w:p>
    <w:p w14:paraId="7C43515D" w14:textId="77777777" w:rsidR="00F632CC" w:rsidRPr="007504E6" w:rsidRDefault="00F632CC" w:rsidP="00F632CC">
      <w:pPr>
        <w:pStyle w:val="Sarakstarindkopa"/>
        <w:numPr>
          <w:ilvl w:val="0"/>
          <w:numId w:val="18"/>
        </w:numPr>
        <w:spacing w:line="240" w:lineRule="auto"/>
        <w:rPr>
          <w:rFonts w:ascii="Times New Roman" w:hAnsi="Times New Roman" w:cs="Times New Roman"/>
          <w:lang w:val="en-GB"/>
        </w:rPr>
      </w:pPr>
      <w:r w:rsidRPr="007504E6">
        <w:rPr>
          <w:rFonts w:ascii="Times New Roman" w:hAnsi="Times New Roman" w:cs="Times New Roman"/>
          <w:lang w:val="en-GB"/>
        </w:rPr>
        <w:t>public authorities that manage, supervise and otherwise interact professionally with the construction industry,</w:t>
      </w:r>
    </w:p>
    <w:p w14:paraId="4BA6941F" w14:textId="3D955D23" w:rsidR="00D64C5F" w:rsidRPr="007504E6" w:rsidRDefault="00F632CC" w:rsidP="00F632CC">
      <w:pPr>
        <w:pStyle w:val="Sarakstarindkopa"/>
        <w:numPr>
          <w:ilvl w:val="0"/>
          <w:numId w:val="18"/>
        </w:numPr>
        <w:spacing w:line="240" w:lineRule="auto"/>
        <w:rPr>
          <w:rFonts w:ascii="Times New Roman" w:hAnsi="Times New Roman" w:cs="Times New Roman"/>
          <w:lang w:val="en-GB"/>
        </w:rPr>
      </w:pPr>
      <w:r w:rsidRPr="007504E6">
        <w:rPr>
          <w:rFonts w:ascii="Times New Roman" w:hAnsi="Times New Roman" w:cs="Times New Roman"/>
          <w:lang w:val="en-GB"/>
        </w:rPr>
        <w:t>public and private sector institutions that are competent to assess the general development of the national economy, incl. from a construction perspective</w:t>
      </w:r>
      <w:r w:rsidR="00D64C5F" w:rsidRPr="007504E6">
        <w:rPr>
          <w:rFonts w:ascii="Times New Roman" w:hAnsi="Times New Roman" w:cs="Times New Roman"/>
          <w:lang w:val="en-GB"/>
        </w:rPr>
        <w:t>.</w:t>
      </w:r>
    </w:p>
    <w:p w14:paraId="1E9F88B2" w14:textId="77777777" w:rsidR="00BB3CB6" w:rsidRPr="007504E6" w:rsidRDefault="00BB3CB6" w:rsidP="00BB3CB6">
      <w:pPr>
        <w:pStyle w:val="Sarakstarindkopa"/>
        <w:spacing w:line="240" w:lineRule="auto"/>
        <w:ind w:left="1080" w:firstLine="0"/>
        <w:rPr>
          <w:rFonts w:ascii="Times New Roman" w:hAnsi="Times New Roman" w:cs="Times New Roman"/>
          <w:lang w:val="en-GB"/>
        </w:rPr>
      </w:pPr>
    </w:p>
    <w:p w14:paraId="508D43B3" w14:textId="3CFDD42C" w:rsidR="00D64C5F" w:rsidRPr="007504E6" w:rsidRDefault="004771BB" w:rsidP="00BB3CB6">
      <w:pPr>
        <w:spacing w:line="240" w:lineRule="auto"/>
        <w:ind w:firstLine="0"/>
        <w:rPr>
          <w:rFonts w:ascii="Times New Roman" w:hAnsi="Times New Roman" w:cs="Times New Roman"/>
          <w:lang w:val="en-GB"/>
        </w:rPr>
      </w:pPr>
      <w:r w:rsidRPr="007504E6">
        <w:rPr>
          <w:rFonts w:ascii="Times New Roman" w:hAnsi="Times New Roman" w:cs="Times New Roman"/>
          <w:lang w:val="en-GB"/>
        </w:rPr>
        <w:t>16 experts were reached to the General Expert Group. The composition and selection of the expert group took place in stages</w:t>
      </w:r>
      <w:r w:rsidR="00D64C5F" w:rsidRPr="007504E6">
        <w:rPr>
          <w:rFonts w:ascii="Times New Roman" w:hAnsi="Times New Roman" w:cs="Times New Roman"/>
          <w:lang w:val="en-GB"/>
        </w:rPr>
        <w:t>:</w:t>
      </w:r>
    </w:p>
    <w:p w14:paraId="2006E82D" w14:textId="77777777" w:rsidR="00BB3CB6" w:rsidRPr="007504E6" w:rsidRDefault="00BB3CB6" w:rsidP="00BB3CB6">
      <w:pPr>
        <w:spacing w:line="240" w:lineRule="auto"/>
        <w:ind w:firstLine="0"/>
        <w:rPr>
          <w:rFonts w:ascii="Times New Roman" w:hAnsi="Times New Roman" w:cs="Times New Roman"/>
          <w:lang w:val="en-GB"/>
        </w:rPr>
      </w:pPr>
    </w:p>
    <w:p w14:paraId="6859E9A5" w14:textId="77777777" w:rsidR="008E1FCD" w:rsidRPr="007504E6" w:rsidRDefault="008E1FCD" w:rsidP="008E1FCD">
      <w:pPr>
        <w:pStyle w:val="Sarakstarindkopa"/>
        <w:numPr>
          <w:ilvl w:val="0"/>
          <w:numId w:val="3"/>
        </w:numPr>
        <w:spacing w:line="240" w:lineRule="auto"/>
        <w:rPr>
          <w:rFonts w:ascii="Times New Roman" w:hAnsi="Times New Roman" w:cs="Times New Roman"/>
          <w:lang w:val="en-GB"/>
        </w:rPr>
      </w:pPr>
      <w:r w:rsidRPr="007504E6">
        <w:rPr>
          <w:rFonts w:ascii="Times New Roman" w:hAnsi="Times New Roman" w:cs="Times New Roman"/>
          <w:lang w:val="en-GB"/>
        </w:rPr>
        <w:t>Identification of the organizations whose activities correspond to one of the above groups;</w:t>
      </w:r>
    </w:p>
    <w:p w14:paraId="5C654B70" w14:textId="77777777" w:rsidR="008E1FCD" w:rsidRPr="007504E6" w:rsidRDefault="008E1FCD" w:rsidP="008E1FCD">
      <w:pPr>
        <w:pStyle w:val="Sarakstarindkopa"/>
        <w:numPr>
          <w:ilvl w:val="0"/>
          <w:numId w:val="3"/>
        </w:numPr>
        <w:spacing w:line="240" w:lineRule="auto"/>
        <w:rPr>
          <w:rFonts w:ascii="Times New Roman" w:hAnsi="Times New Roman" w:cs="Times New Roman"/>
          <w:lang w:val="en-GB"/>
        </w:rPr>
      </w:pPr>
      <w:r w:rsidRPr="007504E6">
        <w:rPr>
          <w:rFonts w:ascii="Times New Roman" w:hAnsi="Times New Roman" w:cs="Times New Roman"/>
          <w:lang w:val="en-GB"/>
        </w:rPr>
        <w:t>Establishment of lists of experts representing organizations;</w:t>
      </w:r>
    </w:p>
    <w:p w14:paraId="350BE220" w14:textId="77777777" w:rsidR="008E1FCD" w:rsidRPr="007504E6" w:rsidRDefault="008E1FCD" w:rsidP="008E1FCD">
      <w:pPr>
        <w:pStyle w:val="Sarakstarindkopa"/>
        <w:numPr>
          <w:ilvl w:val="0"/>
          <w:numId w:val="3"/>
        </w:numPr>
        <w:spacing w:line="240" w:lineRule="auto"/>
        <w:rPr>
          <w:rFonts w:ascii="Times New Roman" w:hAnsi="Times New Roman" w:cs="Times New Roman"/>
          <w:lang w:val="en-GB"/>
        </w:rPr>
      </w:pPr>
      <w:r w:rsidRPr="007504E6">
        <w:rPr>
          <w:rFonts w:ascii="Times New Roman" w:hAnsi="Times New Roman" w:cs="Times New Roman"/>
          <w:lang w:val="en-GB"/>
        </w:rPr>
        <w:t>Coordination of the list of organizations and the experts representing them with the contracting authority, in which experts or organizations may be supplemented or excluded;</w:t>
      </w:r>
    </w:p>
    <w:p w14:paraId="4EEE47E0" w14:textId="1A9599FF" w:rsidR="00D64C5F" w:rsidRPr="007504E6" w:rsidRDefault="008E1FCD" w:rsidP="008E1FCD">
      <w:pPr>
        <w:pStyle w:val="Sarakstarindkopa"/>
        <w:numPr>
          <w:ilvl w:val="0"/>
          <w:numId w:val="3"/>
        </w:numPr>
        <w:spacing w:line="240" w:lineRule="auto"/>
        <w:rPr>
          <w:rFonts w:ascii="Times New Roman" w:hAnsi="Times New Roman" w:cs="Times New Roman"/>
          <w:lang w:val="en-GB"/>
        </w:rPr>
      </w:pPr>
      <w:r w:rsidRPr="007504E6">
        <w:rPr>
          <w:rFonts w:ascii="Times New Roman" w:hAnsi="Times New Roman" w:cs="Times New Roman"/>
          <w:lang w:val="en-GB"/>
        </w:rPr>
        <w:t>Communication with organizations and coordination of the interview process of the persons nominated for the examination</w:t>
      </w:r>
      <w:r w:rsidR="00D64C5F" w:rsidRPr="007504E6">
        <w:rPr>
          <w:rFonts w:ascii="Times New Roman" w:hAnsi="Times New Roman" w:cs="Times New Roman"/>
          <w:lang w:val="en-GB"/>
        </w:rPr>
        <w:t>.</w:t>
      </w:r>
    </w:p>
    <w:p w14:paraId="26484354" w14:textId="77777777" w:rsidR="00D64C5F" w:rsidRPr="007504E6" w:rsidRDefault="00D64C5F" w:rsidP="00D64C5F">
      <w:pPr>
        <w:spacing w:line="240" w:lineRule="auto"/>
        <w:rPr>
          <w:rFonts w:ascii="Times New Roman" w:hAnsi="Times New Roman" w:cs="Times New Roman"/>
          <w:lang w:val="en-GB"/>
        </w:rPr>
      </w:pPr>
    </w:p>
    <w:p w14:paraId="22796E1D" w14:textId="6F930865" w:rsidR="006F2EC0" w:rsidRPr="007504E6" w:rsidRDefault="006F2EC0" w:rsidP="006F2EC0">
      <w:pPr>
        <w:spacing w:line="240" w:lineRule="auto"/>
        <w:ind w:firstLine="0"/>
        <w:rPr>
          <w:rFonts w:ascii="Times New Roman" w:hAnsi="Times New Roman" w:cs="Times New Roman"/>
          <w:lang w:val="en-GB"/>
        </w:rPr>
      </w:pPr>
      <w:r w:rsidRPr="007504E6">
        <w:rPr>
          <w:rFonts w:ascii="Times New Roman" w:hAnsi="Times New Roman" w:cs="Times New Roman"/>
          <w:lang w:val="en-GB"/>
        </w:rPr>
        <w:t>In the expert interview in the object groups, experts from each object group were involved and the interviews were conducted for each group separately, because they assessed the changes in the construction costs of the specific object group.</w:t>
      </w:r>
    </w:p>
    <w:p w14:paraId="76B5FBAE" w14:textId="77777777" w:rsidR="006F2EC0" w:rsidRPr="007504E6" w:rsidRDefault="006F2EC0" w:rsidP="006F2EC0">
      <w:pPr>
        <w:spacing w:line="240" w:lineRule="auto"/>
        <w:ind w:firstLine="0"/>
        <w:rPr>
          <w:rFonts w:ascii="Times New Roman" w:hAnsi="Times New Roman" w:cs="Times New Roman"/>
          <w:lang w:val="en-GB"/>
        </w:rPr>
      </w:pPr>
    </w:p>
    <w:p w14:paraId="1CB91BED" w14:textId="27820A54" w:rsidR="00D64C5F" w:rsidRPr="007504E6" w:rsidRDefault="006F2EC0" w:rsidP="006F2EC0">
      <w:pPr>
        <w:spacing w:line="240" w:lineRule="auto"/>
        <w:ind w:firstLine="0"/>
        <w:rPr>
          <w:rFonts w:ascii="Times New Roman" w:hAnsi="Times New Roman" w:cs="Times New Roman"/>
          <w:lang w:val="en-GB"/>
        </w:rPr>
      </w:pPr>
      <w:r w:rsidRPr="007504E6">
        <w:rPr>
          <w:rFonts w:ascii="Times New Roman" w:hAnsi="Times New Roman" w:cs="Times New Roman"/>
          <w:lang w:val="en-GB"/>
        </w:rPr>
        <w:t>Experts representing companies with activities related to such sub-sectors were recruited to this group</w:t>
      </w:r>
      <w:r w:rsidR="00D64C5F" w:rsidRPr="007504E6">
        <w:rPr>
          <w:rFonts w:ascii="Times New Roman" w:hAnsi="Times New Roman" w:cs="Times New Roman"/>
          <w:lang w:val="en-GB"/>
        </w:rPr>
        <w:t>:</w:t>
      </w:r>
    </w:p>
    <w:p w14:paraId="1BF4BB69" w14:textId="77777777" w:rsidR="00EB3692" w:rsidRPr="007504E6" w:rsidRDefault="00EB3692" w:rsidP="00EB3692">
      <w:pPr>
        <w:pStyle w:val="Sarakstarindkopa"/>
        <w:numPr>
          <w:ilvl w:val="0"/>
          <w:numId w:val="19"/>
        </w:numPr>
        <w:spacing w:line="240" w:lineRule="auto"/>
        <w:rPr>
          <w:rFonts w:ascii="Times New Roman" w:hAnsi="Times New Roman" w:cs="Times New Roman"/>
          <w:lang w:val="en-GB"/>
        </w:rPr>
      </w:pPr>
      <w:r w:rsidRPr="007504E6">
        <w:rPr>
          <w:rFonts w:ascii="Times New Roman" w:hAnsi="Times New Roman" w:cs="Times New Roman"/>
          <w:lang w:val="en-GB"/>
        </w:rPr>
        <w:t>construction of residential and non-residential buildings,</w:t>
      </w:r>
    </w:p>
    <w:p w14:paraId="16C66691" w14:textId="77777777" w:rsidR="00EB3692" w:rsidRPr="007504E6" w:rsidRDefault="00EB3692" w:rsidP="00EB3692">
      <w:pPr>
        <w:pStyle w:val="Sarakstarindkopa"/>
        <w:numPr>
          <w:ilvl w:val="0"/>
          <w:numId w:val="19"/>
        </w:numPr>
        <w:spacing w:line="240" w:lineRule="auto"/>
        <w:rPr>
          <w:rFonts w:ascii="Times New Roman" w:hAnsi="Times New Roman" w:cs="Times New Roman"/>
          <w:lang w:val="en-GB"/>
        </w:rPr>
      </w:pPr>
      <w:r w:rsidRPr="007504E6">
        <w:rPr>
          <w:rFonts w:ascii="Times New Roman" w:hAnsi="Times New Roman" w:cs="Times New Roman"/>
          <w:lang w:val="en-GB"/>
        </w:rPr>
        <w:t>construction of transport facilities,</w:t>
      </w:r>
    </w:p>
    <w:p w14:paraId="54597DB9" w14:textId="77777777" w:rsidR="00EB3692" w:rsidRPr="007504E6" w:rsidRDefault="00EB3692" w:rsidP="00EB3692">
      <w:pPr>
        <w:pStyle w:val="Sarakstarindkopa"/>
        <w:numPr>
          <w:ilvl w:val="0"/>
          <w:numId w:val="19"/>
        </w:numPr>
        <w:spacing w:line="240" w:lineRule="auto"/>
        <w:rPr>
          <w:rFonts w:ascii="Times New Roman" w:hAnsi="Times New Roman" w:cs="Times New Roman"/>
          <w:lang w:val="en-GB"/>
        </w:rPr>
      </w:pPr>
      <w:r w:rsidRPr="007504E6">
        <w:rPr>
          <w:rFonts w:ascii="Times New Roman" w:hAnsi="Times New Roman" w:cs="Times New Roman"/>
          <w:lang w:val="en-GB"/>
        </w:rPr>
        <w:t>construction of urban infrastructure objects,</w:t>
      </w:r>
    </w:p>
    <w:p w14:paraId="36AF5EA6" w14:textId="08391321" w:rsidR="00D64C5F" w:rsidRPr="007504E6" w:rsidRDefault="00EB3692" w:rsidP="00EB3692">
      <w:pPr>
        <w:pStyle w:val="Sarakstarindkopa"/>
        <w:numPr>
          <w:ilvl w:val="0"/>
          <w:numId w:val="19"/>
        </w:numPr>
        <w:spacing w:line="240" w:lineRule="auto"/>
        <w:rPr>
          <w:rFonts w:ascii="Times New Roman" w:hAnsi="Times New Roman" w:cs="Times New Roman"/>
          <w:lang w:val="en-GB"/>
        </w:rPr>
      </w:pPr>
      <w:r w:rsidRPr="007504E6">
        <w:rPr>
          <w:rFonts w:ascii="Times New Roman" w:hAnsi="Times New Roman" w:cs="Times New Roman"/>
          <w:lang w:val="en-GB"/>
        </w:rPr>
        <w:t>other civil engineering</w:t>
      </w:r>
      <w:r w:rsidR="00BB3CB6" w:rsidRPr="007504E6">
        <w:rPr>
          <w:rFonts w:ascii="Times New Roman" w:hAnsi="Times New Roman" w:cs="Times New Roman"/>
          <w:lang w:val="en-GB"/>
        </w:rPr>
        <w:t>.</w:t>
      </w:r>
    </w:p>
    <w:p w14:paraId="71C1C1E8" w14:textId="77777777" w:rsidR="00BB3CB6" w:rsidRPr="007504E6" w:rsidRDefault="00BB3CB6" w:rsidP="00BB3CB6">
      <w:pPr>
        <w:spacing w:line="240" w:lineRule="auto"/>
        <w:ind w:firstLine="0"/>
        <w:rPr>
          <w:rFonts w:ascii="Times New Roman" w:hAnsi="Times New Roman" w:cs="Times New Roman"/>
          <w:lang w:val="en-GB"/>
        </w:rPr>
      </w:pPr>
    </w:p>
    <w:p w14:paraId="00CED9F7" w14:textId="5AF869A0" w:rsidR="00D64C5F" w:rsidRPr="007504E6" w:rsidRDefault="00976608" w:rsidP="00BB3CB6">
      <w:pPr>
        <w:spacing w:line="240" w:lineRule="auto"/>
        <w:ind w:firstLine="0"/>
        <w:rPr>
          <w:rFonts w:ascii="Times New Roman" w:hAnsi="Times New Roman" w:cs="Times New Roman"/>
          <w:lang w:val="en-GB"/>
        </w:rPr>
      </w:pPr>
      <w:r w:rsidRPr="007504E6">
        <w:rPr>
          <w:rFonts w:ascii="Times New Roman" w:hAnsi="Times New Roman" w:cs="Times New Roman"/>
          <w:lang w:val="en-GB"/>
        </w:rPr>
        <w:t>At least four experts are involved in each expert group. The composition and selection of the expert group took place in stages</w:t>
      </w:r>
      <w:r w:rsidR="00D64C5F" w:rsidRPr="007504E6">
        <w:rPr>
          <w:rFonts w:ascii="Times New Roman" w:hAnsi="Times New Roman" w:cs="Times New Roman"/>
          <w:lang w:val="en-GB"/>
        </w:rPr>
        <w:t>:</w:t>
      </w:r>
    </w:p>
    <w:p w14:paraId="36BC1670" w14:textId="77777777" w:rsidR="00BB3CB6" w:rsidRPr="007504E6" w:rsidRDefault="00BB3CB6" w:rsidP="00BB3CB6">
      <w:pPr>
        <w:spacing w:line="240" w:lineRule="auto"/>
        <w:ind w:firstLine="0"/>
        <w:rPr>
          <w:rFonts w:ascii="Times New Roman" w:hAnsi="Times New Roman" w:cs="Times New Roman"/>
          <w:lang w:val="en-GB"/>
        </w:rPr>
      </w:pPr>
    </w:p>
    <w:p w14:paraId="21A1B192" w14:textId="77777777" w:rsidR="00580D7A" w:rsidRPr="007504E6" w:rsidRDefault="00580D7A" w:rsidP="00580D7A">
      <w:pPr>
        <w:pStyle w:val="Sarakstarindkopa"/>
        <w:numPr>
          <w:ilvl w:val="0"/>
          <w:numId w:val="4"/>
        </w:numPr>
        <w:spacing w:line="240" w:lineRule="auto"/>
        <w:rPr>
          <w:rFonts w:ascii="Times New Roman" w:hAnsi="Times New Roman" w:cs="Times New Roman"/>
          <w:lang w:val="en-GB"/>
        </w:rPr>
      </w:pPr>
      <w:r w:rsidRPr="007504E6">
        <w:rPr>
          <w:rFonts w:ascii="Times New Roman" w:hAnsi="Times New Roman" w:cs="Times New Roman"/>
          <w:lang w:val="en-GB"/>
        </w:rPr>
        <w:t>Identification of enterprises whose activities correspond to the group of objects;</w:t>
      </w:r>
    </w:p>
    <w:p w14:paraId="5325FF7C" w14:textId="77777777" w:rsidR="00580D7A" w:rsidRPr="007504E6" w:rsidRDefault="00580D7A" w:rsidP="00580D7A">
      <w:pPr>
        <w:pStyle w:val="Sarakstarindkopa"/>
        <w:numPr>
          <w:ilvl w:val="0"/>
          <w:numId w:val="4"/>
        </w:numPr>
        <w:spacing w:line="240" w:lineRule="auto"/>
        <w:rPr>
          <w:rFonts w:ascii="Times New Roman" w:hAnsi="Times New Roman" w:cs="Times New Roman"/>
          <w:lang w:val="en-GB"/>
        </w:rPr>
      </w:pPr>
      <w:r w:rsidRPr="007504E6">
        <w:rPr>
          <w:rFonts w:ascii="Times New Roman" w:hAnsi="Times New Roman" w:cs="Times New Roman"/>
          <w:lang w:val="en-GB"/>
        </w:rPr>
        <w:t>Ranking of enterprises by turnover ranking, main region of operation;</w:t>
      </w:r>
    </w:p>
    <w:p w14:paraId="73C722E4" w14:textId="77777777" w:rsidR="00580D7A" w:rsidRPr="007504E6" w:rsidRDefault="00580D7A" w:rsidP="00580D7A">
      <w:pPr>
        <w:pStyle w:val="Sarakstarindkopa"/>
        <w:numPr>
          <w:ilvl w:val="0"/>
          <w:numId w:val="4"/>
        </w:numPr>
        <w:spacing w:line="240" w:lineRule="auto"/>
        <w:rPr>
          <w:rFonts w:ascii="Times New Roman" w:hAnsi="Times New Roman" w:cs="Times New Roman"/>
          <w:lang w:val="en-GB"/>
        </w:rPr>
      </w:pPr>
      <w:r w:rsidRPr="007504E6">
        <w:rPr>
          <w:rFonts w:ascii="Times New Roman" w:hAnsi="Times New Roman" w:cs="Times New Roman"/>
          <w:lang w:val="en-GB"/>
        </w:rPr>
        <w:t>Ranking of companies according to the level of competence, based on diversification according to the 2nd level criteria;</w:t>
      </w:r>
    </w:p>
    <w:p w14:paraId="399285C8" w14:textId="77777777" w:rsidR="00580D7A" w:rsidRPr="007504E6" w:rsidRDefault="00580D7A" w:rsidP="00580D7A">
      <w:pPr>
        <w:pStyle w:val="Sarakstarindkopa"/>
        <w:numPr>
          <w:ilvl w:val="0"/>
          <w:numId w:val="4"/>
        </w:numPr>
        <w:spacing w:line="240" w:lineRule="auto"/>
        <w:rPr>
          <w:rFonts w:ascii="Times New Roman" w:hAnsi="Times New Roman" w:cs="Times New Roman"/>
          <w:lang w:val="en-GB"/>
        </w:rPr>
      </w:pPr>
      <w:r w:rsidRPr="007504E6">
        <w:rPr>
          <w:rFonts w:ascii="Times New Roman" w:hAnsi="Times New Roman" w:cs="Times New Roman"/>
          <w:lang w:val="en-GB"/>
        </w:rPr>
        <w:t>Coordination of the list with the customer, in which the rank of competence may be changed, companies may be supplemented and companies to be excluded may be determined;</w:t>
      </w:r>
    </w:p>
    <w:p w14:paraId="1536FD6B" w14:textId="4523145C" w:rsidR="00D64C5F" w:rsidRPr="007504E6" w:rsidRDefault="00580D7A" w:rsidP="00580D7A">
      <w:pPr>
        <w:pStyle w:val="Sarakstarindkopa"/>
        <w:numPr>
          <w:ilvl w:val="0"/>
          <w:numId w:val="4"/>
        </w:numPr>
        <w:spacing w:line="240" w:lineRule="auto"/>
        <w:rPr>
          <w:rFonts w:ascii="Times New Roman" w:hAnsi="Times New Roman" w:cs="Times New Roman"/>
          <w:lang w:val="en-GB"/>
        </w:rPr>
      </w:pPr>
      <w:r w:rsidRPr="007504E6">
        <w:rPr>
          <w:rFonts w:ascii="Times New Roman" w:hAnsi="Times New Roman" w:cs="Times New Roman"/>
          <w:lang w:val="en-GB"/>
        </w:rPr>
        <w:t>Identifying the company and identifying the persons nominated for the expert examination and coordinating the course of the expert interview</w:t>
      </w:r>
      <w:r w:rsidR="00D64C5F" w:rsidRPr="007504E6">
        <w:rPr>
          <w:rFonts w:ascii="Times New Roman" w:hAnsi="Times New Roman" w:cs="Times New Roman"/>
          <w:lang w:val="en-GB"/>
        </w:rPr>
        <w:t>.</w:t>
      </w:r>
    </w:p>
    <w:p w14:paraId="199A3B34" w14:textId="77777777" w:rsidR="00BB3CB6" w:rsidRPr="007504E6" w:rsidRDefault="00BB3CB6" w:rsidP="00BB3CB6">
      <w:pPr>
        <w:spacing w:line="240" w:lineRule="auto"/>
        <w:ind w:firstLine="0"/>
        <w:rPr>
          <w:rFonts w:ascii="Times New Roman" w:hAnsi="Times New Roman" w:cs="Times New Roman"/>
          <w:lang w:val="en-GB"/>
        </w:rPr>
      </w:pPr>
    </w:p>
    <w:p w14:paraId="79A4B7A0" w14:textId="2B96354F" w:rsidR="00D64C5F" w:rsidRPr="007504E6" w:rsidRDefault="00F732F0" w:rsidP="00BB3CB6">
      <w:pPr>
        <w:spacing w:line="240" w:lineRule="auto"/>
        <w:ind w:firstLine="0"/>
        <w:rPr>
          <w:rFonts w:ascii="Times New Roman" w:hAnsi="Times New Roman" w:cs="Times New Roman"/>
          <w:lang w:val="en-GB"/>
        </w:rPr>
      </w:pPr>
      <w:r w:rsidRPr="007504E6">
        <w:rPr>
          <w:rFonts w:ascii="Times New Roman" w:hAnsi="Times New Roman" w:cs="Times New Roman"/>
          <w:lang w:val="en-GB"/>
        </w:rPr>
        <w:t>The research questions were separated for expert groups. The general group identified the factors influencing changes in construction costs from the proposed list and supplemented with its own factors, as well as provided a general forecast of changes in the construction industry and costs during the study period. In the expert interview in the groups of objects, the general group of experts was assessed as the degree of influence of the most significant selected factors on the score scale, as well as forecasting of changes in construction costs in groups of objects and by types of resources</w:t>
      </w:r>
      <w:r w:rsidR="00D64C5F" w:rsidRPr="007504E6">
        <w:rPr>
          <w:rFonts w:ascii="Times New Roman" w:hAnsi="Times New Roman" w:cs="Times New Roman"/>
          <w:lang w:val="en-GB"/>
        </w:rPr>
        <w:t xml:space="preserve">. </w:t>
      </w:r>
    </w:p>
    <w:p w14:paraId="3F257973" w14:textId="77777777" w:rsidR="00D64C5F" w:rsidRPr="007504E6" w:rsidRDefault="00D64C5F" w:rsidP="00D64C5F">
      <w:pPr>
        <w:spacing w:line="240" w:lineRule="auto"/>
        <w:rPr>
          <w:rFonts w:ascii="Times New Roman" w:hAnsi="Times New Roman" w:cs="Times New Roman"/>
          <w:lang w:val="en-GB"/>
        </w:rPr>
      </w:pPr>
    </w:p>
    <w:p w14:paraId="1BB1023A" w14:textId="38C1EC21" w:rsidR="00D64C5F" w:rsidRPr="007504E6" w:rsidRDefault="00D64C5F" w:rsidP="00D64210">
      <w:pPr>
        <w:pStyle w:val="Virsraksts2"/>
        <w:numPr>
          <w:ilvl w:val="1"/>
          <w:numId w:val="5"/>
        </w:numPr>
        <w:rPr>
          <w:rFonts w:ascii="Times New Roman" w:hAnsi="Times New Roman" w:cs="Times New Roman"/>
          <w:b/>
          <w:bCs/>
          <w:color w:val="262626" w:themeColor="text1" w:themeTint="D9"/>
          <w:lang w:val="en-GB"/>
        </w:rPr>
      </w:pPr>
      <w:bookmarkStart w:id="21" w:name="_Toc77714124"/>
      <w:r w:rsidRPr="007504E6">
        <w:rPr>
          <w:rFonts w:ascii="Times New Roman" w:hAnsi="Times New Roman" w:cs="Times New Roman"/>
          <w:b/>
          <w:bCs/>
          <w:color w:val="262626" w:themeColor="text1" w:themeTint="D9"/>
          <w:lang w:val="en-GB"/>
        </w:rPr>
        <w:t>Dat</w:t>
      </w:r>
      <w:r w:rsidR="00030F33" w:rsidRPr="007504E6">
        <w:rPr>
          <w:rFonts w:ascii="Times New Roman" w:hAnsi="Times New Roman" w:cs="Times New Roman"/>
          <w:b/>
          <w:bCs/>
          <w:color w:val="262626" w:themeColor="text1" w:themeTint="D9"/>
          <w:lang w:val="en-GB"/>
        </w:rPr>
        <w:t>a analysis</w:t>
      </w:r>
      <w:bookmarkEnd w:id="21"/>
    </w:p>
    <w:p w14:paraId="7904BF86" w14:textId="77777777" w:rsidR="00BB3CB6" w:rsidRPr="007504E6" w:rsidRDefault="00BB3CB6" w:rsidP="00BB3CB6">
      <w:pPr>
        <w:spacing w:line="240" w:lineRule="auto"/>
        <w:ind w:firstLine="0"/>
        <w:rPr>
          <w:rFonts w:ascii="Times New Roman" w:hAnsi="Times New Roman" w:cs="Times New Roman"/>
          <w:lang w:val="en-GB"/>
        </w:rPr>
      </w:pPr>
    </w:p>
    <w:p w14:paraId="7FD1C5F2" w14:textId="7E09161D" w:rsidR="003E474D" w:rsidRPr="007504E6" w:rsidRDefault="003E474D" w:rsidP="003E474D">
      <w:pPr>
        <w:spacing w:line="240" w:lineRule="auto"/>
        <w:ind w:firstLine="0"/>
        <w:rPr>
          <w:rFonts w:ascii="Times New Roman" w:hAnsi="Times New Roman" w:cs="Times New Roman"/>
          <w:lang w:val="en-GB"/>
        </w:rPr>
      </w:pPr>
      <w:r w:rsidRPr="007504E6">
        <w:rPr>
          <w:rFonts w:ascii="Times New Roman" w:hAnsi="Times New Roman" w:cs="Times New Roman"/>
          <w:lang w:val="en-GB"/>
        </w:rPr>
        <w:t>Various analysis methods were used for the analysis of the obtained statistical data and expert evaluations, according to the research task, data development trends and the scale of expert evaluations. To determine the further development of cost changes, various types of models were used, which characterize the further development of the main trends of the dynamics series over time, based on the extrapolation of previous trends. The obtained models were evaluated for quality with variance indicators.</w:t>
      </w:r>
    </w:p>
    <w:p w14:paraId="3DA24222" w14:textId="77777777" w:rsidR="003E474D" w:rsidRPr="007504E6" w:rsidRDefault="003E474D" w:rsidP="003E474D">
      <w:pPr>
        <w:spacing w:line="240" w:lineRule="auto"/>
        <w:ind w:firstLine="0"/>
        <w:rPr>
          <w:rFonts w:ascii="Times New Roman" w:hAnsi="Times New Roman" w:cs="Times New Roman"/>
          <w:lang w:val="en-GB"/>
        </w:rPr>
      </w:pPr>
    </w:p>
    <w:p w14:paraId="67C4CA0D" w14:textId="2DA3BFFD" w:rsidR="00D64C5F" w:rsidRPr="007504E6" w:rsidRDefault="003E474D" w:rsidP="003E474D">
      <w:pPr>
        <w:spacing w:line="240" w:lineRule="auto"/>
        <w:ind w:firstLine="0"/>
        <w:rPr>
          <w:rFonts w:ascii="Times New Roman" w:hAnsi="Times New Roman" w:cs="Times New Roman"/>
          <w:lang w:val="en-GB"/>
        </w:rPr>
      </w:pPr>
      <w:r w:rsidRPr="007504E6">
        <w:rPr>
          <w:rFonts w:ascii="Times New Roman" w:hAnsi="Times New Roman" w:cs="Times New Roman"/>
          <w:lang w:val="en-GB"/>
        </w:rPr>
        <w:t>Depending on the form and scale of the questions used, calculations of aggregate means, structure means, scatter and variation indicators were used in the processing of expert assessments. In addition to a separate analysis of statistical information and expert judgment, combined forecasts that will combine different sources of information were used as the final forecasting tool. This provided an opportunity in the study to compensate for errors and improve the reliability of the final forecast</w:t>
      </w:r>
      <w:r w:rsidR="00D64C5F" w:rsidRPr="007504E6">
        <w:rPr>
          <w:rFonts w:ascii="Times New Roman" w:hAnsi="Times New Roman" w:cs="Times New Roman"/>
          <w:lang w:val="en-GB"/>
        </w:rPr>
        <w:t>.</w:t>
      </w:r>
    </w:p>
    <w:p w14:paraId="0388323D" w14:textId="77777777" w:rsidR="00D64C5F" w:rsidRPr="007504E6" w:rsidRDefault="00D64C5F" w:rsidP="00D64C5F">
      <w:pPr>
        <w:spacing w:line="240" w:lineRule="auto"/>
        <w:rPr>
          <w:rFonts w:ascii="Times New Roman" w:hAnsi="Times New Roman" w:cs="Times New Roman"/>
          <w:lang w:val="en-GB"/>
        </w:rPr>
      </w:pPr>
    </w:p>
    <w:p w14:paraId="1AFBF5A6" w14:textId="41D0CF01" w:rsidR="00D64C5F" w:rsidRPr="007504E6" w:rsidRDefault="003E474D" w:rsidP="00966AFC">
      <w:pPr>
        <w:pStyle w:val="Virsraksts3"/>
        <w:spacing w:line="240" w:lineRule="auto"/>
        <w:ind w:left="1224" w:firstLine="0"/>
        <w:rPr>
          <w:rFonts w:ascii="Times New Roman" w:hAnsi="Times New Roman" w:cs="Times New Roman"/>
          <w:b/>
          <w:bCs/>
          <w:color w:val="262626" w:themeColor="text1" w:themeTint="D9"/>
          <w:lang w:val="en-GB"/>
        </w:rPr>
      </w:pPr>
      <w:r w:rsidRPr="007504E6">
        <w:rPr>
          <w:rFonts w:ascii="Times New Roman" w:hAnsi="Times New Roman" w:cs="Times New Roman"/>
          <w:b/>
          <w:bCs/>
          <w:color w:val="262626" w:themeColor="text1" w:themeTint="D9"/>
          <w:lang w:val="en-GB"/>
        </w:rPr>
        <w:t>Time series extrapolation</w:t>
      </w:r>
    </w:p>
    <w:p w14:paraId="56A240B7" w14:textId="77777777" w:rsidR="00BB3CB6" w:rsidRPr="007504E6" w:rsidRDefault="00BB3CB6" w:rsidP="00BB3CB6">
      <w:pPr>
        <w:spacing w:line="240" w:lineRule="auto"/>
        <w:ind w:firstLine="0"/>
        <w:rPr>
          <w:rFonts w:ascii="Times New Roman" w:hAnsi="Times New Roman" w:cs="Times New Roman"/>
          <w:lang w:val="en-GB"/>
        </w:rPr>
      </w:pPr>
    </w:p>
    <w:p w14:paraId="468FBA12" w14:textId="0A8E6011" w:rsidR="009E4F3D" w:rsidRPr="007504E6" w:rsidRDefault="009E4F3D" w:rsidP="009E4F3D">
      <w:pPr>
        <w:spacing w:line="240" w:lineRule="auto"/>
        <w:ind w:firstLine="0"/>
        <w:rPr>
          <w:rFonts w:ascii="Times New Roman" w:hAnsi="Times New Roman" w:cs="Times New Roman"/>
          <w:lang w:val="en-GB"/>
        </w:rPr>
      </w:pPr>
      <w:r w:rsidRPr="007504E6">
        <w:rPr>
          <w:rFonts w:ascii="Times New Roman" w:hAnsi="Times New Roman" w:cs="Times New Roman"/>
          <w:lang w:val="en-GB"/>
        </w:rPr>
        <w:t>The main goal of the analysis of time series is to determine the regularity of the development of the studied phenomenon. The study performed an analysis of the cost change dynamics series in order to assess the current development trend and the possible future direction.</w:t>
      </w:r>
    </w:p>
    <w:p w14:paraId="13081444" w14:textId="77777777" w:rsidR="009E4F3D" w:rsidRPr="007504E6" w:rsidRDefault="009E4F3D" w:rsidP="009E4F3D">
      <w:pPr>
        <w:spacing w:line="240" w:lineRule="auto"/>
        <w:ind w:firstLine="0"/>
        <w:rPr>
          <w:rFonts w:ascii="Times New Roman" w:hAnsi="Times New Roman" w:cs="Times New Roman"/>
          <w:lang w:val="en-GB"/>
        </w:rPr>
      </w:pPr>
    </w:p>
    <w:p w14:paraId="2C077B58" w14:textId="12E2316A" w:rsidR="00D64C5F" w:rsidRPr="007504E6" w:rsidRDefault="009E4F3D" w:rsidP="009E4F3D">
      <w:pPr>
        <w:spacing w:line="240" w:lineRule="auto"/>
        <w:ind w:firstLine="0"/>
        <w:rPr>
          <w:rFonts w:ascii="Times New Roman" w:hAnsi="Times New Roman" w:cs="Times New Roman"/>
          <w:lang w:val="en-GB"/>
        </w:rPr>
      </w:pPr>
      <w:r w:rsidRPr="007504E6">
        <w:rPr>
          <w:rFonts w:ascii="Times New Roman" w:hAnsi="Times New Roman" w:cs="Times New Roman"/>
          <w:lang w:val="en-GB"/>
        </w:rPr>
        <w:t>The analysis of the time series within the study provided an opportunity to solve the following tasks</w:t>
      </w:r>
      <w:r w:rsidR="00D64C5F" w:rsidRPr="007504E6">
        <w:rPr>
          <w:rFonts w:ascii="Times New Roman" w:hAnsi="Times New Roman" w:cs="Times New Roman"/>
          <w:lang w:val="en-GB"/>
        </w:rPr>
        <w:t>:</w:t>
      </w:r>
    </w:p>
    <w:p w14:paraId="2DABCC63" w14:textId="77777777" w:rsidR="006532A4" w:rsidRPr="007504E6" w:rsidRDefault="006532A4" w:rsidP="006532A4">
      <w:pPr>
        <w:pStyle w:val="Sarakstarindkopa"/>
        <w:numPr>
          <w:ilvl w:val="0"/>
          <w:numId w:val="20"/>
        </w:numPr>
        <w:spacing w:line="240" w:lineRule="auto"/>
        <w:rPr>
          <w:rFonts w:ascii="Times New Roman" w:hAnsi="Times New Roman" w:cs="Times New Roman"/>
          <w:lang w:val="en-GB"/>
        </w:rPr>
      </w:pPr>
      <w:r w:rsidRPr="007504E6">
        <w:rPr>
          <w:rFonts w:ascii="Times New Roman" w:hAnsi="Times New Roman" w:cs="Times New Roman"/>
          <w:lang w:val="en-GB"/>
        </w:rPr>
        <w:t>to study the nature of the process dynamics - to determine the main development tendency and to assess random fluctuations;</w:t>
      </w:r>
    </w:p>
    <w:p w14:paraId="32CCC942" w14:textId="77777777" w:rsidR="006532A4" w:rsidRPr="007504E6" w:rsidRDefault="006532A4" w:rsidP="006532A4">
      <w:pPr>
        <w:pStyle w:val="Sarakstarindkopa"/>
        <w:numPr>
          <w:ilvl w:val="0"/>
          <w:numId w:val="20"/>
        </w:numPr>
        <w:spacing w:line="240" w:lineRule="auto"/>
        <w:rPr>
          <w:rFonts w:ascii="Times New Roman" w:hAnsi="Times New Roman" w:cs="Times New Roman"/>
          <w:lang w:val="en-GB"/>
        </w:rPr>
      </w:pPr>
      <w:r w:rsidRPr="007504E6">
        <w:rPr>
          <w:rFonts w:ascii="Times New Roman" w:hAnsi="Times New Roman" w:cs="Times New Roman"/>
          <w:lang w:val="en-GB"/>
        </w:rPr>
        <w:t xml:space="preserve">identify and </w:t>
      </w:r>
      <w:proofErr w:type="spellStart"/>
      <w:r w:rsidRPr="007504E6">
        <w:rPr>
          <w:rFonts w:ascii="Times New Roman" w:hAnsi="Times New Roman" w:cs="Times New Roman"/>
          <w:lang w:val="en-GB"/>
        </w:rPr>
        <w:t>analyze</w:t>
      </w:r>
      <w:proofErr w:type="spellEnd"/>
      <w:r w:rsidRPr="007504E6">
        <w:rPr>
          <w:rFonts w:ascii="Times New Roman" w:hAnsi="Times New Roman" w:cs="Times New Roman"/>
          <w:lang w:val="en-GB"/>
        </w:rPr>
        <w:t xml:space="preserve"> periodic, such as seasonal, fluctuations;</w:t>
      </w:r>
    </w:p>
    <w:p w14:paraId="7551B3E7" w14:textId="77777777" w:rsidR="006532A4" w:rsidRPr="007504E6" w:rsidRDefault="006532A4" w:rsidP="006532A4">
      <w:pPr>
        <w:pStyle w:val="Sarakstarindkopa"/>
        <w:numPr>
          <w:ilvl w:val="0"/>
          <w:numId w:val="20"/>
        </w:numPr>
        <w:spacing w:line="240" w:lineRule="auto"/>
        <w:rPr>
          <w:rFonts w:ascii="Times New Roman" w:hAnsi="Times New Roman" w:cs="Times New Roman"/>
          <w:lang w:val="en-GB"/>
        </w:rPr>
      </w:pPr>
      <w:r w:rsidRPr="007504E6">
        <w:rPr>
          <w:rFonts w:ascii="Times New Roman" w:hAnsi="Times New Roman" w:cs="Times New Roman"/>
          <w:lang w:val="en-GB"/>
        </w:rPr>
        <w:t>to study causal relations between processes and phenomena that appeared in the form of correlations between dynamics series;</w:t>
      </w:r>
    </w:p>
    <w:p w14:paraId="5A6F9755" w14:textId="77777777" w:rsidR="006532A4" w:rsidRPr="007504E6" w:rsidRDefault="006532A4" w:rsidP="006532A4">
      <w:pPr>
        <w:pStyle w:val="Sarakstarindkopa"/>
        <w:numPr>
          <w:ilvl w:val="0"/>
          <w:numId w:val="20"/>
        </w:numPr>
        <w:spacing w:line="240" w:lineRule="auto"/>
        <w:rPr>
          <w:rFonts w:ascii="Times New Roman" w:hAnsi="Times New Roman" w:cs="Times New Roman"/>
          <w:lang w:val="en-GB"/>
        </w:rPr>
      </w:pPr>
      <w:r w:rsidRPr="007504E6">
        <w:rPr>
          <w:rFonts w:ascii="Times New Roman" w:hAnsi="Times New Roman" w:cs="Times New Roman"/>
          <w:lang w:val="en-GB"/>
        </w:rPr>
        <w:t>to develop a research process development model;</w:t>
      </w:r>
    </w:p>
    <w:p w14:paraId="1C84B449" w14:textId="060D7FCF" w:rsidR="00D64C5F" w:rsidRPr="007504E6" w:rsidRDefault="006532A4" w:rsidP="006532A4">
      <w:pPr>
        <w:pStyle w:val="Sarakstarindkopa"/>
        <w:numPr>
          <w:ilvl w:val="0"/>
          <w:numId w:val="20"/>
        </w:numPr>
        <w:spacing w:line="240" w:lineRule="auto"/>
        <w:rPr>
          <w:rFonts w:ascii="Times New Roman" w:hAnsi="Times New Roman" w:cs="Times New Roman"/>
          <w:lang w:val="en-GB"/>
        </w:rPr>
      </w:pPr>
      <w:r w:rsidRPr="007504E6">
        <w:rPr>
          <w:rFonts w:ascii="Times New Roman" w:hAnsi="Times New Roman" w:cs="Times New Roman"/>
          <w:lang w:val="en-GB"/>
        </w:rPr>
        <w:t>predict the future development of an object, process or phenomenon</w:t>
      </w:r>
      <w:r w:rsidR="00D64C5F" w:rsidRPr="007504E6">
        <w:rPr>
          <w:rFonts w:ascii="Times New Roman" w:hAnsi="Times New Roman" w:cs="Times New Roman"/>
          <w:lang w:val="en-GB"/>
        </w:rPr>
        <w:t>.</w:t>
      </w:r>
    </w:p>
    <w:p w14:paraId="09F472B1" w14:textId="77777777" w:rsidR="00BB3CB6" w:rsidRPr="007504E6" w:rsidRDefault="00BB3CB6" w:rsidP="00BB3CB6">
      <w:pPr>
        <w:spacing w:line="240" w:lineRule="auto"/>
        <w:ind w:firstLine="0"/>
        <w:rPr>
          <w:rFonts w:ascii="Times New Roman" w:hAnsi="Times New Roman" w:cs="Times New Roman"/>
          <w:lang w:val="en-GB"/>
        </w:rPr>
      </w:pPr>
    </w:p>
    <w:p w14:paraId="16774770" w14:textId="0492E1C8" w:rsidR="004B227F" w:rsidRPr="007504E6" w:rsidRDefault="004B227F" w:rsidP="004B227F">
      <w:pPr>
        <w:spacing w:line="240" w:lineRule="auto"/>
        <w:ind w:firstLine="0"/>
        <w:rPr>
          <w:rFonts w:ascii="Times New Roman" w:hAnsi="Times New Roman" w:cs="Times New Roman"/>
          <w:lang w:val="en-GB"/>
        </w:rPr>
      </w:pPr>
      <w:r w:rsidRPr="007504E6">
        <w:rPr>
          <w:rFonts w:ascii="Times New Roman" w:hAnsi="Times New Roman" w:cs="Times New Roman"/>
          <w:lang w:val="en-GB"/>
        </w:rPr>
        <w:t>The object of research, which is socio-economic processes, is characterized by the main trend, which has a certain constant nature of change over a period of time. The analytical approach of the method in the study is based on the assumption that it is possible to find a type of function that describes the regular, determined components of the time series. For example, in the visual and economic analysis of the time series, it was assumed that the main trend could be described by some model. Then, in the next stage of the research, the model parameters were statistically evaluated and the theoretical values, which are already equalized values, were calculated.</w:t>
      </w:r>
    </w:p>
    <w:p w14:paraId="11EC74AD" w14:textId="77777777" w:rsidR="004B227F" w:rsidRPr="007504E6" w:rsidRDefault="004B227F" w:rsidP="004B227F">
      <w:pPr>
        <w:spacing w:line="240" w:lineRule="auto"/>
        <w:ind w:firstLine="0"/>
        <w:rPr>
          <w:rFonts w:ascii="Times New Roman" w:hAnsi="Times New Roman" w:cs="Times New Roman"/>
          <w:lang w:val="en-GB"/>
        </w:rPr>
      </w:pPr>
    </w:p>
    <w:p w14:paraId="213E0EB6" w14:textId="78FC5D44" w:rsidR="00D64C5F" w:rsidRPr="007504E6" w:rsidRDefault="004B227F" w:rsidP="004B227F">
      <w:pPr>
        <w:spacing w:line="240" w:lineRule="auto"/>
        <w:ind w:firstLine="0"/>
        <w:rPr>
          <w:rFonts w:ascii="Times New Roman" w:hAnsi="Times New Roman" w:cs="Times New Roman"/>
          <w:lang w:val="en-GB"/>
        </w:rPr>
      </w:pPr>
      <w:r w:rsidRPr="007504E6">
        <w:rPr>
          <w:rFonts w:ascii="Times New Roman" w:hAnsi="Times New Roman" w:cs="Times New Roman"/>
          <w:lang w:val="en-GB"/>
        </w:rPr>
        <w:t>The set of models for forecasting the main trends in the development of cost changes used in the study included the following models</w:t>
      </w:r>
      <w:r w:rsidR="00D64C5F" w:rsidRPr="007504E6">
        <w:rPr>
          <w:rStyle w:val="Vresatsauce"/>
          <w:rFonts w:ascii="Times New Roman" w:hAnsi="Times New Roman" w:cs="Times New Roman"/>
          <w:lang w:val="en-GB"/>
        </w:rPr>
        <w:footnoteReference w:id="2"/>
      </w:r>
      <w:r w:rsidR="00D64C5F" w:rsidRPr="007504E6">
        <w:rPr>
          <w:rFonts w:ascii="Times New Roman" w:hAnsi="Times New Roman" w:cs="Times New Roman"/>
          <w:lang w:val="en-GB"/>
        </w:rPr>
        <w:t>:</w:t>
      </w:r>
    </w:p>
    <w:p w14:paraId="2052487A" w14:textId="77777777" w:rsidR="00FD1140" w:rsidRPr="007504E6" w:rsidRDefault="00FD1140" w:rsidP="00FD1140">
      <w:pPr>
        <w:pStyle w:val="Sarakstarindkopa"/>
        <w:numPr>
          <w:ilvl w:val="0"/>
          <w:numId w:val="27"/>
        </w:numPr>
        <w:rPr>
          <w:lang w:val="en-GB"/>
        </w:rPr>
      </w:pPr>
      <w:r w:rsidRPr="007504E6">
        <w:rPr>
          <w:lang w:val="en-GB"/>
        </w:rPr>
        <w:t xml:space="preserve">Exponential model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y</m:t>
                </m:r>
              </m:e>
            </m:acc>
          </m:e>
          <m:sub>
            <m:r>
              <w:rPr>
                <w:rFonts w:ascii="Cambria Math" w:hAnsi="Cambria Math"/>
                <w:lang w:val="en-GB"/>
              </w:rPr>
              <m:t>t</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a+bt</m:t>
            </m:r>
          </m:sup>
        </m:sSup>
      </m:oMath>
    </w:p>
    <w:p w14:paraId="0FB33C00" w14:textId="77777777" w:rsidR="00FD1140" w:rsidRPr="007504E6" w:rsidRDefault="00FD1140" w:rsidP="00FD1140">
      <w:pPr>
        <w:pStyle w:val="Sarakstarindkopa"/>
        <w:numPr>
          <w:ilvl w:val="0"/>
          <w:numId w:val="27"/>
        </w:numPr>
        <w:rPr>
          <w:lang w:val="en-GB"/>
        </w:rPr>
      </w:pPr>
      <w:r w:rsidRPr="007504E6">
        <w:rPr>
          <w:lang w:val="en-GB"/>
        </w:rPr>
        <w:t xml:space="preserve">S-type model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y</m:t>
                </m:r>
              </m:e>
            </m:acc>
          </m:e>
          <m:sub>
            <m:r>
              <w:rPr>
                <w:rFonts w:ascii="Cambria Math" w:hAnsi="Cambria Math"/>
                <w:lang w:val="en-GB"/>
              </w:rPr>
              <m:t>t</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a+</m:t>
            </m:r>
            <m:f>
              <m:fPr>
                <m:ctrlPr>
                  <w:rPr>
                    <w:rFonts w:ascii="Cambria Math" w:hAnsi="Cambria Math"/>
                    <w:i/>
                    <w:lang w:val="en-GB"/>
                  </w:rPr>
                </m:ctrlPr>
              </m:fPr>
              <m:num>
                <m:r>
                  <w:rPr>
                    <w:rFonts w:ascii="Cambria Math" w:hAnsi="Cambria Math"/>
                    <w:lang w:val="en-GB"/>
                  </w:rPr>
                  <m:t>b</m:t>
                </m:r>
              </m:num>
              <m:den>
                <m:r>
                  <w:rPr>
                    <w:rFonts w:ascii="Cambria Math" w:hAnsi="Cambria Math"/>
                    <w:lang w:val="en-GB"/>
                  </w:rPr>
                  <m:t>t</m:t>
                </m:r>
              </m:den>
            </m:f>
          </m:sup>
        </m:sSup>
      </m:oMath>
    </w:p>
    <w:p w14:paraId="6A119102" w14:textId="77777777" w:rsidR="00FD1140" w:rsidRPr="007504E6" w:rsidRDefault="00FD1140" w:rsidP="00FD1140">
      <w:pPr>
        <w:pStyle w:val="Sarakstarindkopa"/>
        <w:numPr>
          <w:ilvl w:val="0"/>
          <w:numId w:val="27"/>
        </w:numPr>
        <w:rPr>
          <w:lang w:val="en-GB"/>
        </w:rPr>
      </w:pPr>
      <w:r w:rsidRPr="007504E6">
        <w:rPr>
          <w:lang w:val="en-GB"/>
        </w:rPr>
        <w:t xml:space="preserve">Logistic model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y</m:t>
                </m:r>
              </m:e>
            </m:acc>
          </m:e>
          <m:sub>
            <m:r>
              <w:rPr>
                <w:rFonts w:ascii="Cambria Math" w:hAnsi="Cambria Math"/>
                <w:lang w:val="en-GB"/>
              </w:rPr>
              <m:t>t</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c</m:t>
            </m:r>
          </m:num>
          <m:den>
            <m:r>
              <w:rPr>
                <w:rFonts w:ascii="Cambria Math" w:hAnsi="Cambria Math"/>
                <w:lang w:val="en-GB"/>
              </w:rPr>
              <m:t>c+a</m:t>
            </m:r>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t</m:t>
                </m:r>
              </m:sup>
            </m:sSup>
          </m:den>
        </m:f>
      </m:oMath>
    </w:p>
    <w:p w14:paraId="3EF4DEBB" w14:textId="77777777" w:rsidR="00FD1140" w:rsidRPr="007504E6" w:rsidRDefault="00FD1140" w:rsidP="00FD1140">
      <w:pPr>
        <w:pStyle w:val="Sarakstarindkopa"/>
        <w:numPr>
          <w:ilvl w:val="0"/>
          <w:numId w:val="27"/>
        </w:numPr>
        <w:rPr>
          <w:lang w:val="en-GB"/>
        </w:rPr>
      </w:pPr>
      <w:r w:rsidRPr="007504E6">
        <w:rPr>
          <w:lang w:val="en-GB"/>
        </w:rPr>
        <w:t xml:space="preserve">Modified exponential model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y</m:t>
                </m:r>
              </m:e>
            </m:acc>
          </m:e>
          <m:sub>
            <m:r>
              <w:rPr>
                <w:rFonts w:ascii="Cambria Math" w:hAnsi="Cambria Math"/>
                <w:lang w:val="en-GB"/>
              </w:rPr>
              <m:t>t</m:t>
            </m:r>
          </m:sub>
        </m:sSub>
        <m:r>
          <w:rPr>
            <w:rFonts w:ascii="Cambria Math" w:hAnsi="Cambria Math"/>
            <w:lang w:val="en-GB"/>
          </w:rPr>
          <m:t>=c+a</m:t>
        </m:r>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t</m:t>
            </m:r>
          </m:sup>
        </m:sSup>
      </m:oMath>
    </w:p>
    <w:p w14:paraId="53118014" w14:textId="77777777" w:rsidR="00FD1140" w:rsidRPr="007504E6" w:rsidRDefault="00FD1140" w:rsidP="00FD1140">
      <w:pPr>
        <w:pStyle w:val="Sarakstarindkopa"/>
        <w:numPr>
          <w:ilvl w:val="0"/>
          <w:numId w:val="27"/>
        </w:numPr>
        <w:rPr>
          <w:lang w:val="en-GB"/>
        </w:rPr>
      </w:pPr>
      <w:r w:rsidRPr="007504E6">
        <w:rPr>
          <w:lang w:val="en-GB"/>
        </w:rPr>
        <w:t xml:space="preserve">Saturation model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y</m:t>
                </m:r>
              </m:e>
            </m:acc>
          </m:e>
          <m:sub>
            <m:r>
              <w:rPr>
                <w:rFonts w:ascii="Cambria Math" w:hAnsi="Cambria Math"/>
                <w:lang w:val="en-GB"/>
              </w:rPr>
              <m:t>t</m:t>
            </m:r>
          </m:sub>
        </m:sSub>
        <m:r>
          <w:rPr>
            <w:rFonts w:ascii="Cambria Math" w:hAnsi="Cambria Math"/>
            <w:lang w:val="en-GB"/>
          </w:rPr>
          <m:t>=c-a</m:t>
        </m:r>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t</m:t>
            </m:r>
          </m:sup>
        </m:sSup>
      </m:oMath>
    </w:p>
    <w:p w14:paraId="616B586E" w14:textId="77777777" w:rsidR="00FD1140" w:rsidRPr="007504E6" w:rsidRDefault="00FD1140" w:rsidP="00FD1140">
      <w:pPr>
        <w:pStyle w:val="Sarakstarindkopa"/>
        <w:numPr>
          <w:ilvl w:val="0"/>
          <w:numId w:val="27"/>
        </w:numPr>
        <w:rPr>
          <w:lang w:val="en-GB"/>
        </w:rPr>
      </w:pPr>
      <w:r w:rsidRPr="007504E6">
        <w:rPr>
          <w:lang w:val="en-GB"/>
        </w:rPr>
        <w:t xml:space="preserve">Pearl-Reed model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y</m:t>
                </m:r>
              </m:e>
            </m:acc>
          </m:e>
          <m:sub>
            <m:r>
              <w:rPr>
                <w:rFonts w:ascii="Cambria Math" w:hAnsi="Cambria Math"/>
                <w:lang w:val="en-GB"/>
              </w:rPr>
              <m:t>t</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c</m:t>
            </m:r>
          </m:num>
          <m:den>
            <m:r>
              <w:rPr>
                <w:rFonts w:ascii="Cambria Math" w:hAnsi="Cambria Math"/>
                <w:lang w:val="en-GB"/>
              </w:rPr>
              <m:t>1+a</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-bt</m:t>
                </m:r>
              </m:sup>
            </m:sSup>
          </m:den>
        </m:f>
      </m:oMath>
    </w:p>
    <w:p w14:paraId="6E2C53A4" w14:textId="77777777" w:rsidR="00FD1140" w:rsidRPr="007504E6" w:rsidRDefault="00FD1140" w:rsidP="00FD1140">
      <w:pPr>
        <w:pStyle w:val="Sarakstarindkopa"/>
        <w:numPr>
          <w:ilvl w:val="0"/>
          <w:numId w:val="27"/>
        </w:numPr>
        <w:rPr>
          <w:lang w:val="en-GB"/>
        </w:rPr>
      </w:pPr>
      <w:r w:rsidRPr="007504E6">
        <w:rPr>
          <w:lang w:val="en-GB"/>
        </w:rPr>
        <w:t xml:space="preserve">Hyperbola with horizontal asymptote model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y</m:t>
                </m:r>
              </m:e>
            </m:acc>
          </m:e>
          <m:sub>
            <m:r>
              <w:rPr>
                <w:rFonts w:ascii="Cambria Math" w:hAnsi="Cambria Math"/>
                <w:lang w:val="en-GB"/>
              </w:rPr>
              <m:t>t</m:t>
            </m:r>
          </m:sub>
        </m:sSub>
        <m:r>
          <w:rPr>
            <w:rFonts w:ascii="Cambria Math" w:hAnsi="Cambria Math"/>
            <w:lang w:val="en-GB"/>
          </w:rPr>
          <m:t>=a+</m:t>
        </m:r>
        <m:f>
          <m:fPr>
            <m:ctrlPr>
              <w:rPr>
                <w:rFonts w:ascii="Cambria Math" w:hAnsi="Cambria Math"/>
                <w:i/>
                <w:lang w:val="en-GB"/>
              </w:rPr>
            </m:ctrlPr>
          </m:fPr>
          <m:num>
            <m:r>
              <w:rPr>
                <w:rFonts w:ascii="Cambria Math" w:hAnsi="Cambria Math"/>
                <w:lang w:val="en-GB"/>
              </w:rPr>
              <m:t>b</m:t>
            </m:r>
          </m:num>
          <m:den>
            <m:r>
              <w:rPr>
                <w:rFonts w:ascii="Cambria Math" w:hAnsi="Cambria Math"/>
                <w:lang w:val="en-GB"/>
              </w:rPr>
              <m:t>t</m:t>
            </m:r>
          </m:den>
        </m:f>
      </m:oMath>
    </w:p>
    <w:p w14:paraId="4A5E58DD" w14:textId="77777777" w:rsidR="00BB3CB6" w:rsidRPr="007504E6" w:rsidRDefault="00BB3CB6" w:rsidP="00BB3CB6">
      <w:pPr>
        <w:spacing w:line="240" w:lineRule="auto"/>
        <w:ind w:firstLine="0"/>
        <w:rPr>
          <w:rFonts w:ascii="Times New Roman" w:hAnsi="Times New Roman" w:cs="Times New Roman"/>
          <w:lang w:val="en-GB"/>
        </w:rPr>
      </w:pPr>
    </w:p>
    <w:p w14:paraId="0E7D0933" w14:textId="77777777" w:rsidR="002D50E0" w:rsidRPr="007504E6" w:rsidRDefault="002D50E0" w:rsidP="002D50E0">
      <w:pPr>
        <w:spacing w:line="240" w:lineRule="auto"/>
        <w:ind w:firstLine="0"/>
        <w:rPr>
          <w:rFonts w:ascii="Times New Roman" w:hAnsi="Times New Roman" w:cs="Times New Roman"/>
          <w:lang w:val="en-GB"/>
        </w:rPr>
      </w:pPr>
      <w:r w:rsidRPr="007504E6">
        <w:rPr>
          <w:rFonts w:ascii="Times New Roman" w:hAnsi="Times New Roman" w:cs="Times New Roman"/>
          <w:lang w:val="en-GB"/>
        </w:rPr>
        <w:t>Designations:</w:t>
      </w:r>
    </w:p>
    <w:p w14:paraId="6DD6AE02" w14:textId="77777777" w:rsidR="002D50E0" w:rsidRPr="007504E6" w:rsidRDefault="00B0130F" w:rsidP="002D50E0">
      <w:pPr>
        <w:spacing w:line="240" w:lineRule="auto"/>
        <w:ind w:firstLine="0"/>
        <w:rPr>
          <w:rFonts w:ascii="Times New Roman" w:hAnsi="Times New Roman" w:cs="Times New Roman"/>
          <w:lang w:val="en-GB"/>
        </w:rPr>
      </w:pPr>
      <m:oMath>
        <m:sSub>
          <m:sSubPr>
            <m:ctrlPr>
              <w:rPr>
                <w:rFonts w:ascii="Cambria Math" w:hAnsi="Cambria Math" w:cs="Times New Roman"/>
                <w:lang w:val="en-GB"/>
              </w:rPr>
            </m:ctrlPr>
          </m:sSubPr>
          <m:e>
            <m:r>
              <w:rPr>
                <w:rFonts w:ascii="Cambria Math" w:hAnsi="Cambria Math" w:cs="Times New Roman"/>
                <w:lang w:val="en-GB"/>
              </w:rPr>
              <m:t>y</m:t>
            </m:r>
          </m:e>
          <m:sub>
            <m:r>
              <w:rPr>
                <w:rFonts w:ascii="Cambria Math" w:hAnsi="Cambria Math" w:cs="Times New Roman"/>
                <w:lang w:val="en-GB"/>
              </w:rPr>
              <m:t>t</m:t>
            </m:r>
          </m:sub>
        </m:sSub>
      </m:oMath>
      <w:r w:rsidR="002D50E0" w:rsidRPr="007504E6">
        <w:rPr>
          <w:rFonts w:ascii="Times New Roman" w:hAnsi="Times New Roman" w:cs="Times New Roman"/>
          <w:lang w:val="en-GB"/>
        </w:rPr>
        <w:t xml:space="preserve"> – time series level at time t (actual data);</w:t>
      </w:r>
    </w:p>
    <w:p w14:paraId="5FDE83AD" w14:textId="13801B8D" w:rsidR="002D50E0" w:rsidRPr="007504E6" w:rsidRDefault="00B0130F" w:rsidP="002D50E0">
      <w:pPr>
        <w:spacing w:line="240" w:lineRule="auto"/>
        <w:ind w:firstLine="0"/>
        <w:rPr>
          <w:rFonts w:ascii="Times New Roman" w:hAnsi="Times New Roman" w:cs="Times New Roman"/>
          <w:lang w:val="en-GB"/>
        </w:rPr>
      </w:pPr>
      <m:oMath>
        <m:sSub>
          <m:sSubPr>
            <m:ctrlPr>
              <w:rPr>
                <w:rFonts w:ascii="Cambria Math" w:hAnsi="Cambria Math" w:cs="Times New Roman"/>
                <w:lang w:val="en-GB"/>
              </w:rPr>
            </m:ctrlPr>
          </m:sSubPr>
          <m:e>
            <m:acc>
              <m:accPr>
                <m:chr m:val="̃"/>
                <m:ctrlPr>
                  <w:rPr>
                    <w:rFonts w:ascii="Cambria Math" w:hAnsi="Cambria Math" w:cs="Times New Roman"/>
                    <w:lang w:val="en-GB"/>
                  </w:rPr>
                </m:ctrlPr>
              </m:accPr>
              <m:e>
                <m:r>
                  <w:rPr>
                    <w:rFonts w:ascii="Cambria Math" w:hAnsi="Cambria Math" w:cs="Times New Roman"/>
                    <w:lang w:val="en-GB"/>
                  </w:rPr>
                  <m:t>y</m:t>
                </m:r>
              </m:e>
            </m:acc>
          </m:e>
          <m:sub>
            <m:r>
              <w:rPr>
                <w:rFonts w:ascii="Cambria Math" w:hAnsi="Cambria Math" w:cs="Times New Roman"/>
                <w:lang w:val="en-GB"/>
              </w:rPr>
              <m:t>t</m:t>
            </m:r>
          </m:sub>
        </m:sSub>
      </m:oMath>
      <w:r w:rsidR="002D50E0" w:rsidRPr="007504E6">
        <w:rPr>
          <w:rFonts w:ascii="Times New Roman" w:hAnsi="Times New Roman" w:cs="Times New Roman"/>
          <w:lang w:val="en-GB"/>
        </w:rPr>
        <w:t xml:space="preserve">  – theoretical or predicted level of the time series at time t (according to the calculated value of the model).</w:t>
      </w:r>
    </w:p>
    <w:p w14:paraId="34ADB741" w14:textId="77777777" w:rsidR="002D50E0" w:rsidRPr="007504E6" w:rsidRDefault="002D50E0" w:rsidP="002D50E0">
      <w:pPr>
        <w:spacing w:line="240" w:lineRule="auto"/>
        <w:ind w:firstLine="0"/>
        <w:rPr>
          <w:rFonts w:ascii="Times New Roman" w:hAnsi="Times New Roman" w:cs="Times New Roman"/>
          <w:lang w:val="en-GB"/>
        </w:rPr>
      </w:pPr>
    </w:p>
    <w:p w14:paraId="27B59F08" w14:textId="766E74E9" w:rsidR="00D64C5F" w:rsidRPr="007504E6" w:rsidRDefault="002D50E0" w:rsidP="002D50E0">
      <w:pPr>
        <w:spacing w:line="240" w:lineRule="auto"/>
        <w:ind w:firstLine="0"/>
        <w:rPr>
          <w:rFonts w:ascii="Times New Roman" w:hAnsi="Times New Roman" w:cs="Times New Roman"/>
          <w:lang w:val="en-GB"/>
        </w:rPr>
      </w:pPr>
      <w:r w:rsidRPr="007504E6">
        <w:rPr>
          <w:rFonts w:ascii="Times New Roman" w:hAnsi="Times New Roman" w:cs="Times New Roman"/>
          <w:lang w:val="en-GB"/>
        </w:rPr>
        <w:t>For the evaluation of model parameters, the considered models were divided into two groups: linearizable models, for which the parameters can be estimated by the least squares method (LSM) and real nonlinear trend models, for which only the initial values of the parameters can be estimated and the optimal parameters were found iteratively</w:t>
      </w:r>
      <w:r w:rsidR="00D64C5F" w:rsidRPr="007504E6">
        <w:rPr>
          <w:rFonts w:ascii="Times New Roman" w:hAnsi="Times New Roman" w:cs="Times New Roman"/>
          <w:lang w:val="en-GB"/>
        </w:rPr>
        <w:t>.</w:t>
      </w:r>
    </w:p>
    <w:p w14:paraId="7DA2B8F7" w14:textId="77777777" w:rsidR="00D64C5F" w:rsidRPr="007504E6" w:rsidRDefault="00D64C5F" w:rsidP="00D64C5F">
      <w:pPr>
        <w:spacing w:line="240" w:lineRule="auto"/>
        <w:ind w:firstLine="0"/>
        <w:rPr>
          <w:rFonts w:ascii="Times New Roman" w:hAnsi="Times New Roman" w:cs="Times New Roman"/>
          <w:lang w:val="en-GB"/>
        </w:rPr>
      </w:pPr>
    </w:p>
    <w:p w14:paraId="669ECB5F" w14:textId="58FA782E" w:rsidR="00D64C5F" w:rsidRPr="007504E6" w:rsidRDefault="002D50E0" w:rsidP="00966AFC">
      <w:pPr>
        <w:pStyle w:val="Virsraksts3"/>
        <w:spacing w:line="240" w:lineRule="auto"/>
        <w:ind w:left="1224" w:firstLine="0"/>
        <w:rPr>
          <w:rFonts w:ascii="Times New Roman" w:hAnsi="Times New Roman" w:cs="Times New Roman"/>
          <w:b/>
          <w:bCs/>
          <w:color w:val="262626" w:themeColor="text1" w:themeTint="D9"/>
          <w:lang w:val="en-GB"/>
        </w:rPr>
      </w:pPr>
      <w:r w:rsidRPr="007504E6">
        <w:rPr>
          <w:rFonts w:ascii="Times New Roman" w:hAnsi="Times New Roman" w:cs="Times New Roman"/>
          <w:b/>
          <w:bCs/>
          <w:color w:val="262626" w:themeColor="text1" w:themeTint="D9"/>
          <w:lang w:val="en-GB"/>
        </w:rPr>
        <w:t>Analysis of expert evaluations</w:t>
      </w:r>
    </w:p>
    <w:p w14:paraId="0306F1A0" w14:textId="77777777" w:rsidR="00BB3CB6" w:rsidRPr="007504E6" w:rsidRDefault="00BB3CB6" w:rsidP="00BB3CB6">
      <w:pPr>
        <w:spacing w:line="240" w:lineRule="auto"/>
        <w:ind w:firstLine="0"/>
        <w:rPr>
          <w:rFonts w:ascii="Times New Roman" w:hAnsi="Times New Roman" w:cs="Times New Roman"/>
          <w:lang w:val="en-GB"/>
        </w:rPr>
      </w:pPr>
    </w:p>
    <w:p w14:paraId="31FD4AC6" w14:textId="77777777" w:rsidR="00CD370F" w:rsidRPr="007504E6" w:rsidRDefault="00CD370F" w:rsidP="00CD370F">
      <w:pPr>
        <w:spacing w:line="240" w:lineRule="auto"/>
        <w:ind w:firstLine="0"/>
        <w:rPr>
          <w:rFonts w:ascii="Times New Roman" w:hAnsi="Times New Roman" w:cs="Times New Roman"/>
          <w:lang w:val="en-GB"/>
        </w:rPr>
      </w:pPr>
      <w:r w:rsidRPr="007504E6">
        <w:rPr>
          <w:rFonts w:ascii="Times New Roman" w:hAnsi="Times New Roman" w:cs="Times New Roman"/>
          <w:lang w:val="en-GB"/>
        </w:rPr>
        <w:t>For those expert evaluations that were provided using a closed form with rank, score or direct rating scales, it was possible to calculate indicators that allowed the rating to be divided as a single indicator of average opinion, or a dispersion of opinions. Aggregate means, structure means and variables were used to process the peer reviews for direct forecasting.</w:t>
      </w:r>
    </w:p>
    <w:p w14:paraId="5D2A66A5" w14:textId="77777777" w:rsidR="00CD370F" w:rsidRPr="007504E6" w:rsidRDefault="00CD370F" w:rsidP="00CD370F">
      <w:pPr>
        <w:rPr>
          <w:lang w:val="en-GB"/>
        </w:rPr>
      </w:pPr>
      <w:r w:rsidRPr="007504E6">
        <w:rPr>
          <w:lang w:val="en-GB"/>
        </w:rPr>
        <w:t>Average expert evaluation:</w:t>
      </w:r>
    </w:p>
    <w:p w14:paraId="3EB0A42E" w14:textId="77777777" w:rsidR="00CD370F" w:rsidRPr="007504E6" w:rsidRDefault="00B0130F" w:rsidP="00CD370F">
      <w:pPr>
        <w:jc w:val="center"/>
        <w:rPr>
          <w:lang w:val="en-GB"/>
        </w:rPr>
      </w:pP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v</m:t>
                </m:r>
              </m:e>
            </m:acc>
          </m:e>
          <m:sub>
            <m:r>
              <w:rPr>
                <w:rFonts w:ascii="Cambria Math" w:hAnsi="Cambria Math"/>
                <w:lang w:val="en-GB"/>
              </w:rPr>
              <m:t>j</m:t>
            </m:r>
          </m:sub>
        </m:sSub>
        <m:r>
          <w:rPr>
            <w:rFonts w:ascii="Cambria Math" w:hAnsi="Cambria Math"/>
            <w:lang w:val="en-GB"/>
          </w:rPr>
          <m:t>=</m:t>
        </m:r>
        <m:f>
          <m:fPr>
            <m:ctrlPr>
              <w:rPr>
                <w:rFonts w:ascii="Cambria Math" w:hAnsi="Cambria Math"/>
                <w:i/>
                <w:lang w:val="en-GB"/>
              </w:rPr>
            </m:ctrlPr>
          </m:fPr>
          <m:num>
            <m:nary>
              <m:naryPr>
                <m:chr m:val="∑"/>
                <m:limLoc m:val="undOvr"/>
                <m:ctrlPr>
                  <w:rPr>
                    <w:rFonts w:ascii="Cambria Math" w:hAnsi="Cambria Math"/>
                    <w:i/>
                    <w:lang w:val="en-GB"/>
                  </w:rPr>
                </m:ctrlPr>
              </m:naryPr>
              <m:sub>
                <m:r>
                  <w:rPr>
                    <w:rFonts w:ascii="Cambria Math" w:hAnsi="Cambria Math"/>
                    <w:lang w:val="en-GB"/>
                  </w:rPr>
                  <m:t>i=1</m:t>
                </m:r>
              </m:sub>
              <m:sup>
                <m:r>
                  <w:rPr>
                    <w:rFonts w:ascii="Cambria Math" w:hAnsi="Cambria Math"/>
                    <w:lang w:val="en-GB"/>
                  </w:rPr>
                  <m:t>k</m:t>
                </m:r>
              </m:sup>
              <m:e>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ij</m:t>
                    </m:r>
                  </m:sub>
                </m:sSub>
              </m:e>
            </m:nary>
          </m:num>
          <m:den>
            <m:r>
              <w:rPr>
                <w:rFonts w:ascii="Cambria Math" w:hAnsi="Cambria Math"/>
                <w:lang w:val="en-GB"/>
              </w:rPr>
              <m:t>k</m:t>
            </m:r>
          </m:den>
        </m:f>
      </m:oMath>
      <w:r w:rsidR="00CD370F" w:rsidRPr="007504E6">
        <w:rPr>
          <w:lang w:val="en-GB"/>
        </w:rPr>
        <w:t>,</w:t>
      </w:r>
    </w:p>
    <w:p w14:paraId="19974331" w14:textId="77777777" w:rsidR="00CD370F" w:rsidRPr="007504E6" w:rsidRDefault="00CD370F" w:rsidP="00CD370F">
      <w:pPr>
        <w:rPr>
          <w:lang w:val="en-GB"/>
        </w:rPr>
      </w:pPr>
      <w:r w:rsidRPr="007504E6">
        <w:rPr>
          <w:lang w:val="en-GB"/>
        </w:rPr>
        <w:t>k – number of experts,</w:t>
      </w:r>
    </w:p>
    <w:p w14:paraId="5AF97768" w14:textId="77777777" w:rsidR="00CD370F" w:rsidRPr="007504E6" w:rsidRDefault="00CD370F" w:rsidP="00CD370F">
      <w:pPr>
        <w:rPr>
          <w:lang w:val="en-GB"/>
        </w:rPr>
      </w:pPr>
      <w:r w:rsidRPr="007504E6">
        <w:rPr>
          <w:lang w:val="en-GB"/>
        </w:rPr>
        <w:t>j – number of problem,</w:t>
      </w:r>
    </w:p>
    <w:p w14:paraId="2F66AAFF" w14:textId="77777777" w:rsidR="00CD370F" w:rsidRPr="007504E6" w:rsidRDefault="00CD370F" w:rsidP="00CD370F">
      <w:pPr>
        <w:rPr>
          <w:lang w:val="en-GB"/>
        </w:rPr>
      </w:pPr>
      <w:proofErr w:type="spellStart"/>
      <w:r w:rsidRPr="007504E6">
        <w:rPr>
          <w:lang w:val="en-GB"/>
        </w:rPr>
        <w:t>v</w:t>
      </w:r>
      <w:r w:rsidRPr="007504E6">
        <w:rPr>
          <w:vertAlign w:val="subscript"/>
          <w:lang w:val="en-GB"/>
        </w:rPr>
        <w:t>ij</w:t>
      </w:r>
      <w:proofErr w:type="spellEnd"/>
      <w:r w:rsidRPr="007504E6">
        <w:rPr>
          <w:lang w:val="en-GB"/>
        </w:rPr>
        <w:t xml:space="preserve"> – Evaluation of the j-</w:t>
      </w:r>
      <w:proofErr w:type="spellStart"/>
      <w:r w:rsidRPr="007504E6">
        <w:rPr>
          <w:lang w:val="en-GB"/>
        </w:rPr>
        <w:t>th</w:t>
      </w:r>
      <w:proofErr w:type="spellEnd"/>
      <w:r w:rsidRPr="007504E6">
        <w:rPr>
          <w:lang w:val="en-GB"/>
        </w:rPr>
        <w:t xml:space="preserve"> question of the </w:t>
      </w:r>
      <w:proofErr w:type="spellStart"/>
      <w:r w:rsidRPr="007504E6">
        <w:rPr>
          <w:lang w:val="en-GB"/>
        </w:rPr>
        <w:t>i-th</w:t>
      </w:r>
      <w:proofErr w:type="spellEnd"/>
      <w:r w:rsidRPr="007504E6">
        <w:rPr>
          <w:lang w:val="en-GB"/>
        </w:rPr>
        <w:t xml:space="preserve"> expert.</w:t>
      </w:r>
    </w:p>
    <w:p w14:paraId="10BAC6CA" w14:textId="77777777" w:rsidR="00CD370F" w:rsidRPr="007504E6" w:rsidRDefault="00CD370F" w:rsidP="00CD370F">
      <w:pPr>
        <w:rPr>
          <w:rFonts w:eastAsiaTheme="minorEastAsia"/>
          <w:lang w:val="en-GB"/>
        </w:rPr>
      </w:pPr>
      <w:r w:rsidRPr="007504E6">
        <w:rPr>
          <w:lang w:val="en-GB"/>
        </w:rPr>
        <w:t xml:space="preserve">Standardized average expert evaluation: </w:t>
      </w:r>
    </w:p>
    <w:p w14:paraId="6868F82A" w14:textId="77777777" w:rsidR="00CD370F" w:rsidRPr="007504E6" w:rsidRDefault="00B0130F" w:rsidP="00CD370F">
      <w:pPr>
        <w:jc w:val="center"/>
        <w:rPr>
          <w:lang w:val="en-GB"/>
        </w:rPr>
      </w:pP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v</m:t>
                </m:r>
              </m:e>
            </m:acc>
          </m:e>
          <m:sub>
            <m:r>
              <w:rPr>
                <w:rFonts w:ascii="Cambria Math" w:hAnsi="Cambria Math"/>
                <w:lang w:val="en-GB"/>
              </w:rPr>
              <m:t>j(n)</m:t>
            </m:r>
          </m:sub>
        </m:sSub>
        <m:r>
          <w:rPr>
            <w:rFonts w:ascii="Cambria Math" w:hAnsi="Cambria Math"/>
            <w:lang w:val="en-GB"/>
          </w:rPr>
          <m:t>=</m:t>
        </m:r>
        <m:f>
          <m:fPr>
            <m:ctrlPr>
              <w:rPr>
                <w:rFonts w:ascii="Cambria Math" w:hAnsi="Cambria Math"/>
                <w:i/>
                <w:lang w:val="en-GB"/>
              </w:rPr>
            </m:ctrlPr>
          </m:fPr>
          <m:num>
            <m:nary>
              <m:naryPr>
                <m:chr m:val="∑"/>
                <m:limLoc m:val="undOvr"/>
                <m:ctrlPr>
                  <w:rPr>
                    <w:rFonts w:ascii="Cambria Math" w:hAnsi="Cambria Math"/>
                    <w:i/>
                    <w:lang w:val="en-GB"/>
                  </w:rPr>
                </m:ctrlPr>
              </m:naryPr>
              <m:sub>
                <m:r>
                  <w:rPr>
                    <w:rFonts w:ascii="Cambria Math" w:hAnsi="Cambria Math"/>
                    <w:lang w:val="en-GB"/>
                  </w:rPr>
                  <m:t>i=1</m:t>
                </m:r>
              </m:sub>
              <m:sup>
                <m:r>
                  <w:rPr>
                    <w:rFonts w:ascii="Cambria Math" w:hAnsi="Cambria Math"/>
                    <w:lang w:val="en-GB"/>
                  </w:rPr>
                  <m:t>k</m:t>
                </m:r>
              </m:sup>
              <m:e>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ij</m:t>
                    </m:r>
                  </m:sub>
                </m:sSub>
              </m:e>
            </m:nary>
          </m:num>
          <m:den>
            <m:nary>
              <m:naryPr>
                <m:chr m:val="∑"/>
                <m:limLoc m:val="subSup"/>
                <m:ctrlPr>
                  <w:rPr>
                    <w:rFonts w:ascii="Cambria Math" w:hAnsi="Cambria Math"/>
                    <w:i/>
                    <w:lang w:val="en-GB"/>
                  </w:rPr>
                </m:ctrlPr>
              </m:naryPr>
              <m:sub>
                <m:r>
                  <w:rPr>
                    <w:rFonts w:ascii="Cambria Math" w:hAnsi="Cambria Math"/>
                    <w:lang w:val="en-GB"/>
                  </w:rPr>
                  <m:t>i=1</m:t>
                </m:r>
              </m:sub>
              <m:sup>
                <m:r>
                  <w:rPr>
                    <w:rFonts w:ascii="Cambria Math" w:hAnsi="Cambria Math"/>
                    <w:lang w:val="en-GB"/>
                  </w:rPr>
                  <m:t>k</m:t>
                </m:r>
              </m:sup>
              <m:e>
                <m:nary>
                  <m:naryPr>
                    <m:chr m:val="∑"/>
                    <m:limLoc m:val="subSup"/>
                    <m:ctrlPr>
                      <w:rPr>
                        <w:rFonts w:ascii="Cambria Math" w:hAnsi="Cambria Math"/>
                        <w:i/>
                        <w:lang w:val="en-GB"/>
                      </w:rPr>
                    </m:ctrlPr>
                  </m:naryPr>
                  <m:sub>
                    <m:r>
                      <w:rPr>
                        <w:rFonts w:ascii="Cambria Math" w:hAnsi="Cambria Math"/>
                        <w:lang w:val="en-GB"/>
                      </w:rPr>
                      <m:t>j=1</m:t>
                    </m:r>
                  </m:sub>
                  <m:sup>
                    <m:r>
                      <w:rPr>
                        <w:rFonts w:ascii="Cambria Math" w:hAnsi="Cambria Math"/>
                        <w:lang w:val="en-GB"/>
                      </w:rPr>
                      <m:t>m</m:t>
                    </m:r>
                  </m:sup>
                  <m:e>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ij</m:t>
                        </m:r>
                      </m:sub>
                    </m:sSub>
                  </m:e>
                </m:nary>
              </m:e>
            </m:nary>
          </m:den>
        </m:f>
      </m:oMath>
      <w:r w:rsidR="00CD370F" w:rsidRPr="007504E6">
        <w:rPr>
          <w:lang w:val="en-GB"/>
        </w:rPr>
        <w:t>,</w:t>
      </w:r>
    </w:p>
    <w:p w14:paraId="1E0559B9" w14:textId="77777777" w:rsidR="00CD370F" w:rsidRPr="007504E6" w:rsidRDefault="00CD370F" w:rsidP="00CD370F">
      <w:pPr>
        <w:rPr>
          <w:lang w:val="en-GB"/>
        </w:rPr>
      </w:pPr>
      <w:r w:rsidRPr="007504E6">
        <w:rPr>
          <w:lang w:val="en-GB"/>
        </w:rPr>
        <w:t>k – number of experts,</w:t>
      </w:r>
    </w:p>
    <w:p w14:paraId="4E4FC85A" w14:textId="77777777" w:rsidR="00CD370F" w:rsidRPr="007504E6" w:rsidRDefault="00CD370F" w:rsidP="00CD370F">
      <w:pPr>
        <w:rPr>
          <w:lang w:val="en-GB"/>
        </w:rPr>
      </w:pPr>
      <w:r w:rsidRPr="007504E6">
        <w:rPr>
          <w:lang w:val="en-GB"/>
        </w:rPr>
        <w:t>j – number of problem,</w:t>
      </w:r>
    </w:p>
    <w:p w14:paraId="65C5FCBC" w14:textId="77777777" w:rsidR="00CD370F" w:rsidRPr="007504E6" w:rsidRDefault="00CD370F" w:rsidP="00CD370F">
      <w:pPr>
        <w:rPr>
          <w:lang w:val="en-GB"/>
        </w:rPr>
      </w:pPr>
      <w:proofErr w:type="spellStart"/>
      <w:r w:rsidRPr="007504E6">
        <w:rPr>
          <w:lang w:val="en-GB"/>
        </w:rPr>
        <w:t>v</w:t>
      </w:r>
      <w:r w:rsidRPr="007504E6">
        <w:rPr>
          <w:vertAlign w:val="subscript"/>
          <w:lang w:val="en-GB"/>
        </w:rPr>
        <w:t>ij</w:t>
      </w:r>
      <w:proofErr w:type="spellEnd"/>
      <w:r w:rsidRPr="007504E6">
        <w:rPr>
          <w:lang w:val="en-GB"/>
        </w:rPr>
        <w:t xml:space="preserve"> – Evaluation of the j-</w:t>
      </w:r>
      <w:proofErr w:type="spellStart"/>
      <w:r w:rsidRPr="007504E6">
        <w:rPr>
          <w:lang w:val="en-GB"/>
        </w:rPr>
        <w:t>th</w:t>
      </w:r>
      <w:proofErr w:type="spellEnd"/>
      <w:r w:rsidRPr="007504E6">
        <w:rPr>
          <w:lang w:val="en-GB"/>
        </w:rPr>
        <w:t xml:space="preserve"> question of the </w:t>
      </w:r>
      <w:proofErr w:type="spellStart"/>
      <w:r w:rsidRPr="007504E6">
        <w:rPr>
          <w:lang w:val="en-GB"/>
        </w:rPr>
        <w:t>i-th</w:t>
      </w:r>
      <w:proofErr w:type="spellEnd"/>
      <w:r w:rsidRPr="007504E6">
        <w:rPr>
          <w:lang w:val="en-GB"/>
        </w:rPr>
        <w:t xml:space="preserve"> expert.</w:t>
      </w:r>
    </w:p>
    <w:p w14:paraId="777DA28B" w14:textId="77777777" w:rsidR="00CD370F" w:rsidRPr="007504E6" w:rsidRDefault="00CD370F" w:rsidP="00CD370F">
      <w:pPr>
        <w:rPr>
          <w:lang w:val="en-GB"/>
        </w:rPr>
      </w:pPr>
      <w:r w:rsidRPr="007504E6">
        <w:rPr>
          <w:lang w:val="en-GB"/>
        </w:rPr>
        <w:t>The structure means - median and fashion average expert evaluation were used.</w:t>
      </w:r>
    </w:p>
    <w:p w14:paraId="29D19E11" w14:textId="77777777" w:rsidR="00CD370F" w:rsidRPr="007504E6" w:rsidRDefault="00CD370F" w:rsidP="00CD370F">
      <w:pPr>
        <w:rPr>
          <w:lang w:val="en-GB"/>
        </w:rPr>
      </w:pPr>
      <w:r w:rsidRPr="007504E6">
        <w:rPr>
          <w:lang w:val="en-GB"/>
        </w:rPr>
        <w:t>Standard deviation of expert assessments:</w:t>
      </w:r>
    </w:p>
    <w:p w14:paraId="69A9B77B" w14:textId="77777777" w:rsidR="00CD370F" w:rsidRPr="007504E6" w:rsidRDefault="00B0130F" w:rsidP="00CD370F">
      <w:pPr>
        <w:jc w:val="center"/>
        <w:rPr>
          <w:lang w:val="en-GB"/>
        </w:rPr>
      </w:pPr>
      <m:oMathPara>
        <m:oMath>
          <m:sSub>
            <m:sSubPr>
              <m:ctrlPr>
                <w:rPr>
                  <w:rFonts w:ascii="Cambria Math" w:hAnsi="Cambria Math"/>
                  <w:i/>
                  <w:lang w:val="en-GB"/>
                </w:rPr>
              </m:ctrlPr>
            </m:sSubPr>
            <m:e>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v</m:t>
                  </m:r>
                </m:sub>
              </m:sSub>
            </m:e>
            <m:sub>
              <m:r>
                <w:rPr>
                  <w:rFonts w:ascii="Cambria Math" w:hAnsi="Cambria Math"/>
                  <w:lang w:val="en-GB"/>
                </w:rPr>
                <m:t>j</m:t>
              </m:r>
            </m:sub>
          </m:sSub>
          <m:r>
            <w:rPr>
              <w:rFonts w:ascii="Cambria Math" w:hAnsi="Cambria Math"/>
              <w:lang w:val="en-GB"/>
            </w:rPr>
            <m:t>=</m:t>
          </m:r>
          <m:rad>
            <m:radPr>
              <m:degHide m:val="1"/>
              <m:ctrlPr>
                <w:rPr>
                  <w:rFonts w:ascii="Cambria Math" w:hAnsi="Cambria Math"/>
                  <w:i/>
                  <w:lang w:val="en-GB"/>
                </w:rPr>
              </m:ctrlPr>
            </m:radPr>
            <m:deg/>
            <m:e>
              <m:f>
                <m:fPr>
                  <m:ctrlPr>
                    <w:rPr>
                      <w:rFonts w:ascii="Cambria Math" w:hAnsi="Cambria Math"/>
                      <w:i/>
                      <w:lang w:val="en-GB"/>
                    </w:rPr>
                  </m:ctrlPr>
                </m:fPr>
                <m:num>
                  <m:nary>
                    <m:naryPr>
                      <m:chr m:val="∑"/>
                      <m:limLoc m:val="subSup"/>
                      <m:ctrlPr>
                        <w:rPr>
                          <w:rFonts w:ascii="Cambria Math" w:hAnsi="Cambria Math"/>
                          <w:i/>
                          <w:lang w:val="en-GB"/>
                        </w:rPr>
                      </m:ctrlPr>
                    </m:naryPr>
                    <m:sub>
                      <m:r>
                        <w:rPr>
                          <w:rFonts w:ascii="Cambria Math" w:hAnsi="Cambria Math"/>
                          <w:lang w:val="en-GB"/>
                        </w:rPr>
                        <m:t>i=1</m:t>
                      </m:r>
                    </m:sub>
                    <m:sup>
                      <m:r>
                        <w:rPr>
                          <w:rFonts w:ascii="Cambria Math" w:hAnsi="Cambria Math"/>
                          <w:lang w:val="en-GB"/>
                        </w:rPr>
                        <m:t>k</m:t>
                      </m:r>
                    </m:sup>
                    <m:e>
                      <m:sSup>
                        <m:sSupPr>
                          <m:ctrlPr>
                            <w:rPr>
                              <w:rFonts w:ascii="Cambria Math" w:hAnsi="Cambria Math"/>
                              <w:i/>
                              <w:lang w:val="en-GB"/>
                            </w:rPr>
                          </m:ctrlPr>
                        </m:sSupPr>
                        <m:e>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ij</m:t>
                                  </m:r>
                                </m:sub>
                              </m:sSub>
                              <m:r>
                                <w:rPr>
                                  <w:rFonts w:ascii="Cambria Math" w:hAnsi="Cambria Math"/>
                                  <w:lang w:val="en-GB"/>
                                </w:rPr>
                                <m:t>-</m:t>
                              </m:r>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v</m:t>
                                      </m:r>
                                    </m:e>
                                  </m:acc>
                                </m:e>
                                <m:sub>
                                  <m:r>
                                    <w:rPr>
                                      <w:rFonts w:ascii="Cambria Math" w:hAnsi="Cambria Math"/>
                                      <w:lang w:val="en-GB"/>
                                    </w:rPr>
                                    <m:t>j</m:t>
                                  </m:r>
                                </m:sub>
                              </m:sSub>
                            </m:e>
                          </m:d>
                        </m:e>
                        <m:sup>
                          <m:r>
                            <w:rPr>
                              <w:rFonts w:ascii="Cambria Math" w:hAnsi="Cambria Math"/>
                              <w:lang w:val="en-GB"/>
                            </w:rPr>
                            <m:t>2</m:t>
                          </m:r>
                        </m:sup>
                      </m:sSup>
                    </m:e>
                  </m:nary>
                </m:num>
                <m:den>
                  <m:r>
                    <w:rPr>
                      <w:rFonts w:ascii="Cambria Math" w:hAnsi="Cambria Math"/>
                      <w:lang w:val="en-GB"/>
                    </w:rPr>
                    <m:t>k</m:t>
                  </m:r>
                </m:den>
              </m:f>
            </m:e>
          </m:rad>
        </m:oMath>
      </m:oMathPara>
    </w:p>
    <w:p w14:paraId="2EF0EA90" w14:textId="77777777" w:rsidR="00CD370F" w:rsidRPr="007504E6" w:rsidRDefault="00CD370F" w:rsidP="00CD370F">
      <w:pPr>
        <w:rPr>
          <w:rFonts w:eastAsiaTheme="minorEastAsia"/>
          <w:lang w:val="en-GB"/>
        </w:rPr>
      </w:pPr>
      <w:r w:rsidRPr="007504E6">
        <w:rPr>
          <w:rFonts w:eastAsiaTheme="minorEastAsia"/>
          <w:lang w:val="en-GB"/>
        </w:rPr>
        <w:t>Factor weight or significance was calculated for the indicators that were summarized as ranking values:</w:t>
      </w:r>
    </w:p>
    <w:p w14:paraId="6B6359F8" w14:textId="77777777" w:rsidR="00CD370F" w:rsidRPr="007504E6" w:rsidRDefault="00B0130F" w:rsidP="00CD370F">
      <w:pPr>
        <w:jc w:val="center"/>
        <w:rPr>
          <w:lang w:val="en-GB"/>
        </w:rPr>
      </w:pPr>
      <m:oMathPara>
        <m:oMath>
          <m:sSub>
            <m:sSubPr>
              <m:ctrlPr>
                <w:rPr>
                  <w:rFonts w:ascii="Cambria Math" w:eastAsiaTheme="minorEastAsia" w:hAnsi="Cambria Math"/>
                  <w:i/>
                  <w:lang w:val="en-GB"/>
                </w:rPr>
              </m:ctrlPr>
            </m:sSubPr>
            <m:e>
              <m:r>
                <w:rPr>
                  <w:rFonts w:ascii="Cambria Math" w:eastAsiaTheme="minorEastAsia" w:hAnsi="Cambria Math"/>
                  <w:lang w:val="en-GB"/>
                </w:rPr>
                <m:t>β</m:t>
              </m:r>
            </m:e>
            <m:sub>
              <m:r>
                <w:rPr>
                  <w:rFonts w:ascii="Cambria Math" w:eastAsiaTheme="minorEastAsia" w:hAnsi="Cambria Math"/>
                  <w:lang w:val="en-GB"/>
                </w:rPr>
                <m:t>j</m:t>
              </m:r>
            </m:sub>
          </m:sSub>
          <m:r>
            <w:rPr>
              <w:rFonts w:ascii="Cambria Math" w:eastAsiaTheme="minorEastAsia" w:hAnsi="Cambria Math"/>
              <w:lang w:val="en-GB"/>
            </w:rPr>
            <m:t>=</m:t>
          </m:r>
          <m:f>
            <m:fPr>
              <m:ctrlPr>
                <w:rPr>
                  <w:rFonts w:ascii="Cambria Math" w:eastAsiaTheme="minorEastAsia" w:hAnsi="Cambria Math"/>
                  <w:i/>
                  <w:lang w:val="en-GB"/>
                </w:rPr>
              </m:ctrlPr>
            </m:fPr>
            <m:num>
              <m:f>
                <m:fPr>
                  <m:type m:val="skw"/>
                  <m:ctrlPr>
                    <w:rPr>
                      <w:rFonts w:ascii="Cambria Math" w:eastAsiaTheme="minorEastAsia" w:hAnsi="Cambria Math"/>
                      <w:i/>
                      <w:lang w:val="en-GB"/>
                    </w:rPr>
                  </m:ctrlPr>
                </m:fPr>
                <m:num>
                  <m:r>
                    <w:rPr>
                      <w:rFonts w:ascii="Cambria Math" w:eastAsiaTheme="minorEastAsia" w:hAnsi="Cambria Math"/>
                      <w:lang w:val="en-GB"/>
                    </w:rPr>
                    <m:t>1</m:t>
                  </m:r>
                </m:num>
                <m:den>
                  <m:sSub>
                    <m:sSubPr>
                      <m:ctrlPr>
                        <w:rPr>
                          <w:rFonts w:ascii="Cambria Math" w:eastAsiaTheme="minorEastAsia" w:hAnsi="Cambria Math"/>
                          <w:i/>
                          <w:lang w:val="en-GB"/>
                        </w:rPr>
                      </m:ctrlPr>
                    </m:sSubPr>
                    <m:e>
                      <m:r>
                        <w:rPr>
                          <w:rFonts w:ascii="Cambria Math" w:eastAsiaTheme="minorEastAsia" w:hAnsi="Cambria Math"/>
                          <w:lang w:val="en-GB"/>
                        </w:rPr>
                        <m:t>R</m:t>
                      </m:r>
                    </m:e>
                    <m:sub>
                      <m:r>
                        <w:rPr>
                          <w:rFonts w:ascii="Cambria Math" w:eastAsiaTheme="minorEastAsia" w:hAnsi="Cambria Math"/>
                          <w:lang w:val="en-GB"/>
                        </w:rPr>
                        <m:t>j</m:t>
                      </m:r>
                    </m:sub>
                  </m:sSub>
                </m:den>
              </m:f>
            </m:num>
            <m:den>
              <m:nary>
                <m:naryPr>
                  <m:chr m:val="∑"/>
                  <m:limLoc m:val="subSup"/>
                  <m:ctrlPr>
                    <w:rPr>
                      <w:rFonts w:ascii="Cambria Math" w:eastAsiaTheme="minorEastAsia" w:hAnsi="Cambria Math"/>
                      <w:i/>
                      <w:lang w:val="en-GB"/>
                    </w:rPr>
                  </m:ctrlPr>
                </m:naryPr>
                <m:sub>
                  <m:r>
                    <w:rPr>
                      <w:rFonts w:ascii="Cambria Math" w:eastAsiaTheme="minorEastAsia" w:hAnsi="Cambria Math"/>
                      <w:lang w:val="en-GB"/>
                    </w:rPr>
                    <m:t>j=1</m:t>
                  </m:r>
                </m:sub>
                <m:sup>
                  <m:r>
                    <w:rPr>
                      <w:rFonts w:ascii="Cambria Math" w:eastAsiaTheme="minorEastAsia" w:hAnsi="Cambria Math"/>
                      <w:lang w:val="en-GB"/>
                    </w:rPr>
                    <m:t>m</m:t>
                  </m:r>
                </m:sup>
                <m:e>
                  <m:d>
                    <m:dPr>
                      <m:ctrlPr>
                        <w:rPr>
                          <w:rFonts w:ascii="Cambria Math" w:eastAsiaTheme="minorEastAsia" w:hAnsi="Cambria Math"/>
                          <w:i/>
                          <w:lang w:val="en-GB"/>
                        </w:rPr>
                      </m:ctrlPr>
                    </m:dPr>
                    <m:e>
                      <m:f>
                        <m:fPr>
                          <m:type m:val="skw"/>
                          <m:ctrlPr>
                            <w:rPr>
                              <w:rFonts w:ascii="Cambria Math" w:eastAsiaTheme="minorEastAsia" w:hAnsi="Cambria Math"/>
                              <w:i/>
                              <w:lang w:val="en-GB"/>
                            </w:rPr>
                          </m:ctrlPr>
                        </m:fPr>
                        <m:num>
                          <m:r>
                            <w:rPr>
                              <w:rFonts w:ascii="Cambria Math" w:eastAsiaTheme="minorEastAsia" w:hAnsi="Cambria Math"/>
                              <w:lang w:val="en-GB"/>
                            </w:rPr>
                            <m:t>1</m:t>
                          </m:r>
                        </m:num>
                        <m:den>
                          <m:sSub>
                            <m:sSubPr>
                              <m:ctrlPr>
                                <w:rPr>
                                  <w:rFonts w:ascii="Cambria Math" w:eastAsiaTheme="minorEastAsia" w:hAnsi="Cambria Math"/>
                                  <w:i/>
                                  <w:lang w:val="en-GB"/>
                                </w:rPr>
                              </m:ctrlPr>
                            </m:sSubPr>
                            <m:e>
                              <m:r>
                                <w:rPr>
                                  <w:rFonts w:ascii="Cambria Math" w:eastAsiaTheme="minorEastAsia" w:hAnsi="Cambria Math"/>
                                  <w:lang w:val="en-GB"/>
                                </w:rPr>
                                <m:t>R</m:t>
                              </m:r>
                            </m:e>
                            <m:sub>
                              <m:r>
                                <w:rPr>
                                  <w:rFonts w:ascii="Cambria Math" w:eastAsiaTheme="minorEastAsia" w:hAnsi="Cambria Math"/>
                                  <w:lang w:val="en-GB"/>
                                </w:rPr>
                                <m:t>j</m:t>
                              </m:r>
                            </m:sub>
                          </m:sSub>
                        </m:den>
                      </m:f>
                    </m:e>
                  </m:d>
                </m:e>
              </m:nary>
            </m:den>
          </m:f>
          <m:r>
            <w:rPr>
              <w:rFonts w:ascii="Cambria Math" w:eastAsiaTheme="minorEastAsia" w:hAnsi="Cambria Math"/>
              <w:lang w:val="en-GB"/>
            </w:rPr>
            <m:t>×100</m:t>
          </m:r>
        </m:oMath>
      </m:oMathPara>
    </w:p>
    <w:p w14:paraId="795C2A62" w14:textId="593FDD5A" w:rsidR="00D64C5F" w:rsidRPr="007504E6" w:rsidRDefault="00CD370F" w:rsidP="00CD370F">
      <w:pPr>
        <w:spacing w:line="240" w:lineRule="auto"/>
        <w:ind w:firstLine="0"/>
        <w:rPr>
          <w:rFonts w:ascii="Times New Roman" w:hAnsi="Times New Roman" w:cs="Times New Roman"/>
          <w:lang w:val="en-GB"/>
        </w:rPr>
      </w:pPr>
      <w:r w:rsidRPr="007504E6">
        <w:rPr>
          <w:rFonts w:ascii="Times New Roman" w:hAnsi="Times New Roman" w:cs="Times New Roman"/>
          <w:lang w:val="en-GB"/>
        </w:rPr>
        <w:t>Depending on the studied indicator, different characteristic values were used, which are selected in</w:t>
      </w:r>
      <w:r w:rsidR="00D64C5F" w:rsidRPr="007504E6">
        <w:rPr>
          <w:rFonts w:ascii="Times New Roman" w:hAnsi="Times New Roman" w:cs="Times New Roman"/>
          <w:lang w:val="en-GB"/>
        </w:rPr>
        <w:t xml:space="preserve"> </w:t>
      </w:r>
      <w:r w:rsidRPr="007504E6">
        <w:rPr>
          <w:rFonts w:ascii="Times New Roman" w:hAnsi="Times New Roman" w:cs="Times New Roman"/>
          <w:lang w:val="en-GB"/>
        </w:rPr>
        <w:t>Table</w:t>
      </w:r>
      <w:r w:rsidR="00D64C5F" w:rsidRPr="007504E6">
        <w:rPr>
          <w:rFonts w:ascii="Times New Roman" w:hAnsi="Times New Roman" w:cs="Times New Roman"/>
          <w:lang w:val="en-GB"/>
        </w:rPr>
        <w:t xml:space="preserve"> </w:t>
      </w:r>
      <w:r w:rsidRPr="007504E6">
        <w:rPr>
          <w:rFonts w:ascii="Times New Roman" w:hAnsi="Times New Roman" w:cs="Times New Roman"/>
          <w:lang w:val="en-GB"/>
        </w:rPr>
        <w:t>4</w:t>
      </w:r>
      <w:r w:rsidR="00D64C5F" w:rsidRPr="007504E6">
        <w:rPr>
          <w:rFonts w:ascii="Times New Roman" w:hAnsi="Times New Roman" w:cs="Times New Roman"/>
          <w:lang w:val="en-GB"/>
        </w:rPr>
        <w:t>.</w:t>
      </w:r>
    </w:p>
    <w:p w14:paraId="5FD2F852" w14:textId="18CE127A" w:rsidR="00D64C5F" w:rsidRPr="007504E6" w:rsidRDefault="00CD370F" w:rsidP="00D64C5F">
      <w:pPr>
        <w:pStyle w:val="Parakstszemobjekta"/>
        <w:keepNext/>
        <w:spacing w:after="0"/>
        <w:jc w:val="right"/>
        <w:rPr>
          <w:rFonts w:ascii="Times New Roman" w:hAnsi="Times New Roman" w:cs="Times New Roman"/>
          <w:lang w:val="en-GB"/>
        </w:rPr>
      </w:pPr>
      <w:r w:rsidRPr="007504E6">
        <w:rPr>
          <w:rFonts w:ascii="Times New Roman" w:hAnsi="Times New Roman" w:cs="Times New Roman"/>
          <w:lang w:val="en-GB"/>
        </w:rPr>
        <w:t xml:space="preserve">Table </w:t>
      </w:r>
      <w:r w:rsidR="001B0C98" w:rsidRPr="007504E6">
        <w:rPr>
          <w:rFonts w:ascii="Times New Roman" w:hAnsi="Times New Roman" w:cs="Times New Roman"/>
          <w:lang w:val="en-GB"/>
        </w:rPr>
        <w:t>4</w:t>
      </w:r>
      <w:r w:rsidR="00D64C5F" w:rsidRPr="007504E6">
        <w:rPr>
          <w:rFonts w:ascii="Times New Roman" w:hAnsi="Times New Roman" w:cs="Times New Roman"/>
          <w:lang w:val="en-GB"/>
        </w:rPr>
        <w:t xml:space="preserve">. </w:t>
      </w:r>
    </w:p>
    <w:p w14:paraId="3B8D5268" w14:textId="1F6E5662" w:rsidR="00D64C5F" w:rsidRPr="007504E6" w:rsidRDefault="00245EE4" w:rsidP="00D64C5F">
      <w:pPr>
        <w:pStyle w:val="Parakstszemobjekta"/>
        <w:keepNext/>
        <w:spacing w:after="0"/>
        <w:jc w:val="right"/>
        <w:rPr>
          <w:rFonts w:ascii="Times New Roman" w:hAnsi="Times New Roman" w:cs="Times New Roman"/>
          <w:lang w:val="en-GB"/>
        </w:rPr>
      </w:pPr>
      <w:r w:rsidRPr="007504E6">
        <w:rPr>
          <w:rFonts w:ascii="Times New Roman" w:hAnsi="Times New Roman" w:cs="Times New Roman"/>
          <w:lang w:val="en-GB"/>
        </w:rPr>
        <w:t>Application of means and variance indicators in the analysis of expert evaluations</w:t>
      </w:r>
      <w:r w:rsidR="00D64C5F" w:rsidRPr="007504E6">
        <w:rPr>
          <w:rFonts w:ascii="Times New Roman" w:hAnsi="Times New Roman" w:cs="Times New Roman"/>
          <w:lang w:val="en-GB"/>
        </w:rPr>
        <w:t>.</w:t>
      </w:r>
    </w:p>
    <w:tbl>
      <w:tblPr>
        <w:tblStyle w:val="ListTable4-Accent31"/>
        <w:tblW w:w="9072" w:type="dxa"/>
        <w:tblInd w:w="108" w:type="dxa"/>
        <w:tblLayout w:type="fixed"/>
        <w:tblLook w:val="06A0" w:firstRow="1" w:lastRow="0" w:firstColumn="1" w:lastColumn="0" w:noHBand="1" w:noVBand="1"/>
      </w:tblPr>
      <w:tblGrid>
        <w:gridCol w:w="2127"/>
        <w:gridCol w:w="1389"/>
        <w:gridCol w:w="1389"/>
        <w:gridCol w:w="1389"/>
        <w:gridCol w:w="1389"/>
        <w:gridCol w:w="1389"/>
      </w:tblGrid>
      <w:tr w:rsidR="00A652DE" w:rsidRPr="007504E6" w14:paraId="7C508320" w14:textId="77777777" w:rsidTr="00431C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79F39D9" w14:textId="77777777" w:rsidR="00A652DE" w:rsidRPr="007504E6" w:rsidRDefault="00A652DE" w:rsidP="00A652DE">
            <w:pPr>
              <w:spacing w:line="240" w:lineRule="auto"/>
              <w:ind w:firstLine="0"/>
              <w:rPr>
                <w:rFonts w:ascii="Times New Roman" w:hAnsi="Times New Roman" w:cs="Times New Roman"/>
                <w:lang w:val="en-GB"/>
              </w:rPr>
            </w:pPr>
          </w:p>
        </w:tc>
        <w:tc>
          <w:tcPr>
            <w:tcW w:w="1389" w:type="dxa"/>
            <w:vAlign w:val="center"/>
          </w:tcPr>
          <w:p w14:paraId="727AFA0B" w14:textId="7BCF0C37" w:rsidR="00A652DE" w:rsidRPr="007504E6" w:rsidRDefault="00A652DE" w:rsidP="00A652DE">
            <w:pPr>
              <w:pStyle w:val="Bezatstarpm"/>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n-GB"/>
              </w:rPr>
            </w:pPr>
            <w:r w:rsidRPr="007504E6">
              <w:rPr>
                <w:b w:val="0"/>
                <w:lang w:val="en-GB"/>
              </w:rPr>
              <w:t>Average expert rating</w:t>
            </w:r>
          </w:p>
        </w:tc>
        <w:tc>
          <w:tcPr>
            <w:tcW w:w="1389" w:type="dxa"/>
            <w:vAlign w:val="center"/>
          </w:tcPr>
          <w:p w14:paraId="72D76B62" w14:textId="1AFF1658" w:rsidR="00A652DE" w:rsidRPr="007504E6" w:rsidRDefault="00A652DE" w:rsidP="00A652DE">
            <w:pPr>
              <w:pStyle w:val="Bezatstarpm"/>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n-GB"/>
              </w:rPr>
            </w:pPr>
            <w:r w:rsidRPr="007504E6">
              <w:rPr>
                <w:b w:val="0"/>
                <w:lang w:val="en-GB"/>
              </w:rPr>
              <w:t>Normalized average expert assessment</w:t>
            </w:r>
          </w:p>
        </w:tc>
        <w:tc>
          <w:tcPr>
            <w:tcW w:w="1389" w:type="dxa"/>
            <w:vAlign w:val="center"/>
          </w:tcPr>
          <w:p w14:paraId="3B673C75" w14:textId="77777777" w:rsidR="00A652DE" w:rsidRPr="007504E6" w:rsidRDefault="00A652DE" w:rsidP="00A652DE">
            <w:pPr>
              <w:pStyle w:val="Bezatstarpm"/>
              <w:ind w:firstLine="0"/>
              <w:jc w:val="center"/>
              <w:cnfStyle w:val="100000000000" w:firstRow="1" w:lastRow="0" w:firstColumn="0" w:lastColumn="0" w:oddVBand="0" w:evenVBand="0" w:oddHBand="0" w:evenHBand="0" w:firstRowFirstColumn="0" w:firstRowLastColumn="0" w:lastRowFirstColumn="0" w:lastRowLastColumn="0"/>
              <w:rPr>
                <w:b w:val="0"/>
                <w:lang w:val="en-GB"/>
              </w:rPr>
            </w:pPr>
            <w:r w:rsidRPr="007504E6">
              <w:rPr>
                <w:b w:val="0"/>
                <w:lang w:val="en-GB"/>
              </w:rPr>
              <w:t>Structure averages</w:t>
            </w:r>
          </w:p>
          <w:p w14:paraId="4D3F8450" w14:textId="028720EF" w:rsidR="00A652DE" w:rsidRPr="007504E6" w:rsidRDefault="00A652DE" w:rsidP="00A652DE">
            <w:pPr>
              <w:pStyle w:val="Bezatstarpm"/>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n-GB"/>
              </w:rPr>
            </w:pPr>
            <w:r w:rsidRPr="007504E6">
              <w:rPr>
                <w:b w:val="0"/>
                <w:lang w:val="en-GB"/>
              </w:rPr>
              <w:t>(Me, Mo)</w:t>
            </w:r>
          </w:p>
        </w:tc>
        <w:tc>
          <w:tcPr>
            <w:tcW w:w="1389" w:type="dxa"/>
            <w:vAlign w:val="center"/>
          </w:tcPr>
          <w:p w14:paraId="18C3D8B1" w14:textId="4F9ADD8A" w:rsidR="00A652DE" w:rsidRPr="007504E6" w:rsidRDefault="00A652DE" w:rsidP="00A652DE">
            <w:pPr>
              <w:pStyle w:val="Bezatstarpm"/>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n-GB"/>
              </w:rPr>
            </w:pPr>
            <w:r w:rsidRPr="007504E6">
              <w:rPr>
                <w:b w:val="0"/>
                <w:lang w:val="en-GB"/>
              </w:rPr>
              <w:t>Variance indicators</w:t>
            </w:r>
          </w:p>
        </w:tc>
        <w:tc>
          <w:tcPr>
            <w:tcW w:w="1389" w:type="dxa"/>
            <w:vAlign w:val="center"/>
          </w:tcPr>
          <w:p w14:paraId="2C5CB9CC" w14:textId="2C526DCA" w:rsidR="00A652DE" w:rsidRPr="007504E6" w:rsidRDefault="00A652DE" w:rsidP="00A652DE">
            <w:pPr>
              <w:pStyle w:val="Bezatstarpm"/>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n-GB"/>
              </w:rPr>
            </w:pPr>
            <w:r w:rsidRPr="007504E6">
              <w:rPr>
                <w:b w:val="0"/>
                <w:lang w:val="en-GB"/>
              </w:rPr>
              <w:t>Factor weight or significance</w:t>
            </w:r>
          </w:p>
        </w:tc>
      </w:tr>
      <w:tr w:rsidR="00EB76C4" w:rsidRPr="007504E6" w14:paraId="205986F2" w14:textId="77777777" w:rsidTr="00431C6E">
        <w:trPr>
          <w:trHeight w:val="759"/>
        </w:trPr>
        <w:tc>
          <w:tcPr>
            <w:cnfStyle w:val="001000000000" w:firstRow="0" w:lastRow="0" w:firstColumn="1" w:lastColumn="0" w:oddVBand="0" w:evenVBand="0" w:oddHBand="0" w:evenHBand="0" w:firstRowFirstColumn="0" w:firstRowLastColumn="0" w:lastRowFirstColumn="0" w:lastRowLastColumn="0"/>
            <w:tcW w:w="2127" w:type="dxa"/>
          </w:tcPr>
          <w:p w14:paraId="37C34F6C" w14:textId="60B8FE03" w:rsidR="00EB76C4" w:rsidRPr="007504E6" w:rsidRDefault="00EB76C4" w:rsidP="00EB76C4">
            <w:pPr>
              <w:pStyle w:val="Bezatstarpm"/>
              <w:ind w:firstLine="0"/>
              <w:rPr>
                <w:rFonts w:ascii="Times New Roman" w:hAnsi="Times New Roman" w:cs="Times New Roman"/>
                <w:sz w:val="22"/>
                <w:lang w:val="en-GB"/>
              </w:rPr>
            </w:pPr>
            <w:r w:rsidRPr="007504E6">
              <w:rPr>
                <w:lang w:val="en-GB"/>
              </w:rPr>
              <w:t>Expert direct cost change forecasts</w:t>
            </w:r>
          </w:p>
        </w:tc>
        <w:tc>
          <w:tcPr>
            <w:tcW w:w="1389" w:type="dxa"/>
            <w:vAlign w:val="center"/>
          </w:tcPr>
          <w:p w14:paraId="5ACAB22E" w14:textId="77777777" w:rsidR="00EB76C4" w:rsidRPr="007504E6" w:rsidRDefault="00EB76C4" w:rsidP="00EB76C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sym w:font="Wingdings" w:char="F0FC"/>
            </w:r>
          </w:p>
        </w:tc>
        <w:tc>
          <w:tcPr>
            <w:tcW w:w="1389" w:type="dxa"/>
            <w:vAlign w:val="center"/>
          </w:tcPr>
          <w:p w14:paraId="2D2287A6" w14:textId="77777777" w:rsidR="00EB76C4" w:rsidRPr="007504E6" w:rsidRDefault="00EB76C4" w:rsidP="00EB76C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tc>
        <w:tc>
          <w:tcPr>
            <w:tcW w:w="1389" w:type="dxa"/>
            <w:vAlign w:val="center"/>
          </w:tcPr>
          <w:p w14:paraId="20BAA53A" w14:textId="77777777" w:rsidR="00EB76C4" w:rsidRPr="007504E6" w:rsidRDefault="00EB76C4" w:rsidP="00EB76C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tc>
        <w:tc>
          <w:tcPr>
            <w:tcW w:w="1389" w:type="dxa"/>
            <w:vAlign w:val="center"/>
          </w:tcPr>
          <w:p w14:paraId="33616535" w14:textId="77777777" w:rsidR="00EB76C4" w:rsidRPr="007504E6" w:rsidRDefault="00EB76C4" w:rsidP="00EB76C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sym w:font="Wingdings" w:char="F0FC"/>
            </w:r>
          </w:p>
        </w:tc>
        <w:tc>
          <w:tcPr>
            <w:tcW w:w="1389" w:type="dxa"/>
            <w:vAlign w:val="center"/>
          </w:tcPr>
          <w:p w14:paraId="3A747281" w14:textId="77777777" w:rsidR="00EB76C4" w:rsidRPr="007504E6" w:rsidRDefault="00EB76C4" w:rsidP="00EB76C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tc>
      </w:tr>
      <w:tr w:rsidR="00EB76C4" w:rsidRPr="007504E6" w14:paraId="57E62965" w14:textId="77777777" w:rsidTr="00431C6E">
        <w:trPr>
          <w:trHeight w:val="759"/>
        </w:trPr>
        <w:tc>
          <w:tcPr>
            <w:cnfStyle w:val="001000000000" w:firstRow="0" w:lastRow="0" w:firstColumn="1" w:lastColumn="0" w:oddVBand="0" w:evenVBand="0" w:oddHBand="0" w:evenHBand="0" w:firstRowFirstColumn="0" w:firstRowLastColumn="0" w:lastRowFirstColumn="0" w:lastRowLastColumn="0"/>
            <w:tcW w:w="2127" w:type="dxa"/>
          </w:tcPr>
          <w:p w14:paraId="259AC1B7" w14:textId="73AFF0FA" w:rsidR="00EB76C4" w:rsidRPr="007504E6" w:rsidRDefault="00EB76C4" w:rsidP="00EB76C4">
            <w:pPr>
              <w:pStyle w:val="Bezatstarpm"/>
              <w:ind w:firstLine="0"/>
              <w:rPr>
                <w:rFonts w:ascii="Times New Roman" w:hAnsi="Times New Roman" w:cs="Times New Roman"/>
                <w:sz w:val="22"/>
                <w:lang w:val="en-GB"/>
              </w:rPr>
            </w:pPr>
            <w:r w:rsidRPr="007504E6">
              <w:rPr>
                <w:lang w:val="en-GB"/>
              </w:rPr>
              <w:t>Identification of the most important influencing factors</w:t>
            </w:r>
          </w:p>
        </w:tc>
        <w:tc>
          <w:tcPr>
            <w:tcW w:w="1389" w:type="dxa"/>
            <w:vAlign w:val="center"/>
          </w:tcPr>
          <w:p w14:paraId="3D064E1E" w14:textId="77777777" w:rsidR="00EB76C4" w:rsidRPr="007504E6" w:rsidRDefault="00EB76C4" w:rsidP="00EB76C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tc>
        <w:tc>
          <w:tcPr>
            <w:tcW w:w="1389" w:type="dxa"/>
            <w:vAlign w:val="center"/>
          </w:tcPr>
          <w:p w14:paraId="35EF9710" w14:textId="77777777" w:rsidR="00EB76C4" w:rsidRPr="007504E6" w:rsidRDefault="00EB76C4" w:rsidP="00EB76C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tc>
        <w:tc>
          <w:tcPr>
            <w:tcW w:w="1389" w:type="dxa"/>
            <w:vAlign w:val="center"/>
          </w:tcPr>
          <w:p w14:paraId="43830333" w14:textId="77777777" w:rsidR="00EB76C4" w:rsidRPr="007504E6" w:rsidRDefault="00EB76C4" w:rsidP="00EB76C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tc>
        <w:tc>
          <w:tcPr>
            <w:tcW w:w="1389" w:type="dxa"/>
            <w:vAlign w:val="center"/>
          </w:tcPr>
          <w:p w14:paraId="141E92D2" w14:textId="77777777" w:rsidR="00EB76C4" w:rsidRPr="007504E6" w:rsidRDefault="00EB76C4" w:rsidP="00EB76C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tc>
        <w:tc>
          <w:tcPr>
            <w:tcW w:w="1389" w:type="dxa"/>
            <w:vAlign w:val="center"/>
          </w:tcPr>
          <w:p w14:paraId="73F34D37" w14:textId="77777777" w:rsidR="00EB76C4" w:rsidRPr="007504E6" w:rsidRDefault="00EB76C4" w:rsidP="00EB76C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sym w:font="Wingdings" w:char="F0FC"/>
            </w:r>
          </w:p>
        </w:tc>
      </w:tr>
      <w:tr w:rsidR="00EB76C4" w:rsidRPr="007504E6" w14:paraId="412AAB91" w14:textId="77777777" w:rsidTr="00431C6E">
        <w:trPr>
          <w:trHeight w:val="759"/>
        </w:trPr>
        <w:tc>
          <w:tcPr>
            <w:cnfStyle w:val="001000000000" w:firstRow="0" w:lastRow="0" w:firstColumn="1" w:lastColumn="0" w:oddVBand="0" w:evenVBand="0" w:oddHBand="0" w:evenHBand="0" w:firstRowFirstColumn="0" w:firstRowLastColumn="0" w:lastRowFirstColumn="0" w:lastRowLastColumn="0"/>
            <w:tcW w:w="2127" w:type="dxa"/>
          </w:tcPr>
          <w:p w14:paraId="33CEEF9E" w14:textId="4271CD96" w:rsidR="00EB76C4" w:rsidRPr="007504E6" w:rsidRDefault="00EB76C4" w:rsidP="00EB76C4">
            <w:pPr>
              <w:pStyle w:val="Bezatstarpm"/>
              <w:ind w:firstLine="0"/>
              <w:rPr>
                <w:rFonts w:ascii="Times New Roman" w:hAnsi="Times New Roman" w:cs="Times New Roman"/>
                <w:sz w:val="22"/>
                <w:lang w:val="en-GB"/>
              </w:rPr>
            </w:pPr>
            <w:r w:rsidRPr="007504E6">
              <w:rPr>
                <w:lang w:val="en-GB"/>
              </w:rPr>
              <w:t>Assessment of the degree of influence of factors</w:t>
            </w:r>
          </w:p>
        </w:tc>
        <w:tc>
          <w:tcPr>
            <w:tcW w:w="1389" w:type="dxa"/>
            <w:vAlign w:val="center"/>
          </w:tcPr>
          <w:p w14:paraId="24CB57C4" w14:textId="77777777" w:rsidR="00EB76C4" w:rsidRPr="007504E6" w:rsidRDefault="00EB76C4" w:rsidP="00EB76C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sym w:font="Wingdings" w:char="F0FC"/>
            </w:r>
          </w:p>
        </w:tc>
        <w:tc>
          <w:tcPr>
            <w:tcW w:w="1389" w:type="dxa"/>
            <w:vAlign w:val="center"/>
          </w:tcPr>
          <w:p w14:paraId="27F2CC1A" w14:textId="77777777" w:rsidR="00EB76C4" w:rsidRPr="007504E6" w:rsidRDefault="00EB76C4" w:rsidP="00EB76C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sym w:font="Wingdings" w:char="F0FC"/>
            </w:r>
          </w:p>
        </w:tc>
        <w:tc>
          <w:tcPr>
            <w:tcW w:w="1389" w:type="dxa"/>
            <w:vAlign w:val="center"/>
          </w:tcPr>
          <w:p w14:paraId="288CC961" w14:textId="77777777" w:rsidR="00EB76C4" w:rsidRPr="007504E6" w:rsidRDefault="00EB76C4" w:rsidP="00EB76C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sym w:font="Wingdings" w:char="F0FC"/>
            </w:r>
          </w:p>
        </w:tc>
        <w:tc>
          <w:tcPr>
            <w:tcW w:w="1389" w:type="dxa"/>
            <w:vAlign w:val="center"/>
          </w:tcPr>
          <w:p w14:paraId="3C16501A" w14:textId="77777777" w:rsidR="00EB76C4" w:rsidRPr="007504E6" w:rsidRDefault="00EB76C4" w:rsidP="00EB76C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sym w:font="Wingdings" w:char="F0FC"/>
            </w:r>
          </w:p>
        </w:tc>
        <w:tc>
          <w:tcPr>
            <w:tcW w:w="1389" w:type="dxa"/>
            <w:vAlign w:val="center"/>
          </w:tcPr>
          <w:p w14:paraId="3F0BC252" w14:textId="77777777" w:rsidR="00EB76C4" w:rsidRPr="007504E6" w:rsidRDefault="00EB76C4" w:rsidP="00EB76C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tc>
      </w:tr>
    </w:tbl>
    <w:p w14:paraId="1D04A31C" w14:textId="77777777" w:rsidR="00D64C5F" w:rsidRPr="007504E6" w:rsidRDefault="00D64C5F" w:rsidP="00D64C5F">
      <w:pPr>
        <w:spacing w:line="240" w:lineRule="auto"/>
        <w:rPr>
          <w:rFonts w:ascii="Times New Roman" w:hAnsi="Times New Roman" w:cs="Times New Roman"/>
          <w:lang w:val="en-GB"/>
        </w:rPr>
      </w:pPr>
    </w:p>
    <w:p w14:paraId="55F21CF2" w14:textId="313F8D49" w:rsidR="00D64C5F" w:rsidRPr="007504E6" w:rsidRDefault="00536CB0" w:rsidP="00BB3CB6">
      <w:pPr>
        <w:spacing w:line="240" w:lineRule="auto"/>
        <w:ind w:firstLine="0"/>
        <w:rPr>
          <w:rFonts w:ascii="Times New Roman" w:hAnsi="Times New Roman" w:cs="Times New Roman"/>
          <w:lang w:val="en-GB"/>
        </w:rPr>
      </w:pPr>
      <w:r w:rsidRPr="007504E6">
        <w:rPr>
          <w:rFonts w:ascii="Times New Roman" w:hAnsi="Times New Roman" w:cs="Times New Roman"/>
          <w:lang w:val="en-GB"/>
        </w:rPr>
        <w:t>The obtained indicators characterizing the opinion of experts were summarized in a graphical form to facilitate their perception, as well as their interpretation was provided. If necessary, the indicators were recalculated in order to facilitate their interpretation and to equate them with other indicators, which do not match the unit of measurement with the studied indicator</w:t>
      </w:r>
      <w:r w:rsidR="00D64C5F" w:rsidRPr="007504E6">
        <w:rPr>
          <w:rFonts w:ascii="Times New Roman" w:hAnsi="Times New Roman" w:cs="Times New Roman"/>
          <w:lang w:val="en-GB"/>
        </w:rPr>
        <w:t xml:space="preserve">. </w:t>
      </w:r>
    </w:p>
    <w:p w14:paraId="444D5D76" w14:textId="77777777" w:rsidR="00D64C5F" w:rsidRPr="007504E6" w:rsidRDefault="00D64C5F" w:rsidP="00D64C5F">
      <w:pPr>
        <w:spacing w:after="160" w:line="240" w:lineRule="auto"/>
        <w:ind w:firstLine="0"/>
        <w:jc w:val="left"/>
        <w:rPr>
          <w:rFonts w:ascii="Times New Roman" w:hAnsi="Times New Roman" w:cs="Times New Roman"/>
          <w:lang w:val="en-GB"/>
        </w:rPr>
      </w:pPr>
      <w:r w:rsidRPr="007504E6">
        <w:rPr>
          <w:rFonts w:ascii="Times New Roman" w:hAnsi="Times New Roman" w:cs="Times New Roman"/>
          <w:lang w:val="en-GB"/>
        </w:rPr>
        <w:br w:type="page"/>
      </w:r>
    </w:p>
    <w:p w14:paraId="670740C5" w14:textId="77777777" w:rsidR="00D64C5F" w:rsidRPr="007504E6" w:rsidRDefault="00D64C5F" w:rsidP="00D64C5F">
      <w:pPr>
        <w:spacing w:line="240" w:lineRule="auto"/>
        <w:rPr>
          <w:rFonts w:ascii="Times New Roman" w:hAnsi="Times New Roman" w:cs="Times New Roman"/>
          <w:lang w:val="en-GB"/>
        </w:rPr>
      </w:pPr>
    </w:p>
    <w:p w14:paraId="1C4CBBA8" w14:textId="7B13A4B9" w:rsidR="00D64C5F" w:rsidRPr="007504E6" w:rsidRDefault="00536CB0" w:rsidP="00966AFC">
      <w:pPr>
        <w:pStyle w:val="Virsraksts3"/>
        <w:spacing w:line="240" w:lineRule="auto"/>
        <w:ind w:left="1224" w:firstLine="0"/>
        <w:rPr>
          <w:rFonts w:ascii="Times New Roman" w:hAnsi="Times New Roman" w:cs="Times New Roman"/>
          <w:b/>
          <w:bCs/>
          <w:color w:val="262626" w:themeColor="text1" w:themeTint="D9"/>
          <w:lang w:val="en-GB"/>
        </w:rPr>
      </w:pPr>
      <w:r w:rsidRPr="007504E6">
        <w:rPr>
          <w:rFonts w:ascii="Times New Roman" w:hAnsi="Times New Roman" w:cs="Times New Roman"/>
          <w:b/>
          <w:bCs/>
          <w:color w:val="262626" w:themeColor="text1" w:themeTint="D9"/>
          <w:lang w:val="en-GB"/>
        </w:rPr>
        <w:t>Development of a combined forecast</w:t>
      </w:r>
    </w:p>
    <w:p w14:paraId="46C7D9B2" w14:textId="77777777" w:rsidR="00D64C5F" w:rsidRPr="007504E6" w:rsidRDefault="00D64C5F" w:rsidP="00D64C5F">
      <w:pPr>
        <w:spacing w:line="240" w:lineRule="auto"/>
        <w:rPr>
          <w:rFonts w:ascii="Times New Roman" w:hAnsi="Times New Roman" w:cs="Times New Roman"/>
          <w:lang w:val="en-GB"/>
        </w:rPr>
      </w:pPr>
    </w:p>
    <w:p w14:paraId="7BF76E4F" w14:textId="66DA768E" w:rsidR="00D64C5F" w:rsidRPr="007504E6" w:rsidRDefault="00FB5FE8" w:rsidP="00BB3CB6">
      <w:pPr>
        <w:spacing w:line="240" w:lineRule="auto"/>
        <w:ind w:firstLine="0"/>
        <w:rPr>
          <w:rFonts w:ascii="Times New Roman" w:hAnsi="Times New Roman" w:cs="Times New Roman"/>
          <w:lang w:val="en-GB"/>
        </w:rPr>
      </w:pPr>
      <w:r w:rsidRPr="007504E6">
        <w:rPr>
          <w:rFonts w:ascii="Times New Roman" w:hAnsi="Times New Roman" w:cs="Times New Roman"/>
          <w:lang w:val="en-GB"/>
        </w:rPr>
        <w:t>Taking into account the division of the changes in construction costs into groups by types of objects and types of resources, in different sections there was a need to combine statistical information and expert assessments for the development of forecasts</w:t>
      </w:r>
      <w:r w:rsidR="00D64C5F" w:rsidRPr="007504E6">
        <w:rPr>
          <w:rFonts w:ascii="Times New Roman" w:hAnsi="Times New Roman" w:cs="Times New Roman"/>
          <w:lang w:val="en-GB"/>
        </w:rPr>
        <w:t xml:space="preserve">. </w:t>
      </w:r>
    </w:p>
    <w:p w14:paraId="5E4FB513" w14:textId="29F7CE3B" w:rsidR="00D64C5F" w:rsidRPr="007504E6" w:rsidRDefault="00FB5FE8" w:rsidP="00D64C5F">
      <w:pPr>
        <w:pStyle w:val="Parakstszemobjekta"/>
        <w:keepNext/>
        <w:spacing w:after="0"/>
        <w:jc w:val="right"/>
        <w:rPr>
          <w:rFonts w:ascii="Times New Roman" w:hAnsi="Times New Roman" w:cs="Times New Roman"/>
          <w:lang w:val="en-GB"/>
        </w:rPr>
      </w:pPr>
      <w:r w:rsidRPr="007504E6">
        <w:rPr>
          <w:rFonts w:ascii="Times New Roman" w:hAnsi="Times New Roman" w:cs="Times New Roman"/>
          <w:lang w:val="en-GB"/>
        </w:rPr>
        <w:t>Table</w:t>
      </w:r>
      <w:r w:rsidR="001B0C98" w:rsidRPr="007504E6">
        <w:rPr>
          <w:rFonts w:ascii="Times New Roman" w:hAnsi="Times New Roman" w:cs="Times New Roman"/>
          <w:lang w:val="en-GB"/>
        </w:rPr>
        <w:t xml:space="preserve"> 5</w:t>
      </w:r>
      <w:r w:rsidR="00D64C5F" w:rsidRPr="007504E6">
        <w:rPr>
          <w:rFonts w:ascii="Times New Roman" w:hAnsi="Times New Roman" w:cs="Times New Roman"/>
          <w:lang w:val="en-GB"/>
        </w:rPr>
        <w:t xml:space="preserve">. </w:t>
      </w:r>
    </w:p>
    <w:p w14:paraId="32E274CB" w14:textId="2C1F0B64" w:rsidR="00D64C5F" w:rsidRPr="007504E6" w:rsidRDefault="004630FA" w:rsidP="00D64C5F">
      <w:pPr>
        <w:pStyle w:val="Parakstszemobjekta"/>
        <w:keepNext/>
        <w:spacing w:after="0"/>
        <w:jc w:val="right"/>
        <w:rPr>
          <w:rFonts w:ascii="Times New Roman" w:hAnsi="Times New Roman" w:cs="Times New Roman"/>
          <w:lang w:val="en-GB"/>
        </w:rPr>
      </w:pPr>
      <w:r w:rsidRPr="007504E6">
        <w:rPr>
          <w:lang w:val="en-GB"/>
        </w:rPr>
        <w:t>Use of statistical data (D) and expert estimates (E) to estimate cost changes by object groups and resource types</w:t>
      </w:r>
      <w:r w:rsidR="00D64C5F" w:rsidRPr="007504E6">
        <w:rPr>
          <w:rFonts w:ascii="Times New Roman" w:hAnsi="Times New Roman" w:cs="Times New Roman"/>
          <w:lang w:val="en-GB"/>
        </w:rPr>
        <w:t>.</w:t>
      </w:r>
    </w:p>
    <w:tbl>
      <w:tblPr>
        <w:tblStyle w:val="ListTable4-Accent31"/>
        <w:tblW w:w="9135" w:type="dxa"/>
        <w:tblInd w:w="108" w:type="dxa"/>
        <w:tblLayout w:type="fixed"/>
        <w:tblLook w:val="06A0" w:firstRow="1" w:lastRow="0" w:firstColumn="1" w:lastColumn="0" w:noHBand="1" w:noVBand="1"/>
      </w:tblPr>
      <w:tblGrid>
        <w:gridCol w:w="1993"/>
        <w:gridCol w:w="1502"/>
        <w:gridCol w:w="1502"/>
        <w:gridCol w:w="1870"/>
        <w:gridCol w:w="1355"/>
        <w:gridCol w:w="913"/>
      </w:tblGrid>
      <w:tr w:rsidR="00A64111" w:rsidRPr="007504E6" w14:paraId="5016C2EA" w14:textId="77777777" w:rsidTr="00431C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tcPr>
          <w:p w14:paraId="34A74FE3" w14:textId="77777777" w:rsidR="00A64111" w:rsidRPr="007504E6" w:rsidRDefault="00A64111" w:rsidP="00A64111">
            <w:pPr>
              <w:spacing w:line="240" w:lineRule="auto"/>
              <w:ind w:firstLine="0"/>
              <w:rPr>
                <w:rFonts w:ascii="Times New Roman" w:hAnsi="Times New Roman" w:cs="Times New Roman"/>
                <w:lang w:val="en-GB"/>
              </w:rPr>
            </w:pPr>
          </w:p>
        </w:tc>
        <w:tc>
          <w:tcPr>
            <w:tcW w:w="1502" w:type="dxa"/>
            <w:vAlign w:val="center"/>
          </w:tcPr>
          <w:p w14:paraId="11B07D87" w14:textId="072AA35F" w:rsidR="00A64111" w:rsidRPr="007504E6" w:rsidRDefault="00A64111" w:rsidP="00A64111">
            <w:pPr>
              <w:pStyle w:val="Bezatstarpm"/>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n-GB"/>
              </w:rPr>
            </w:pPr>
            <w:r w:rsidRPr="007504E6">
              <w:rPr>
                <w:b w:val="0"/>
                <w:lang w:val="en-GB"/>
              </w:rPr>
              <w:t>Building materials</w:t>
            </w:r>
          </w:p>
        </w:tc>
        <w:tc>
          <w:tcPr>
            <w:tcW w:w="1502" w:type="dxa"/>
            <w:vAlign w:val="center"/>
          </w:tcPr>
          <w:p w14:paraId="3ACC5127" w14:textId="2C5A7D2B" w:rsidR="00A64111" w:rsidRPr="007504E6" w:rsidRDefault="00A64111" w:rsidP="00A64111">
            <w:pPr>
              <w:pStyle w:val="Bezatstarpm"/>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n-GB"/>
              </w:rPr>
            </w:pPr>
            <w:r w:rsidRPr="007504E6">
              <w:rPr>
                <w:b w:val="0"/>
                <w:lang w:val="en-GB"/>
              </w:rPr>
              <w:t>Workers' wages</w:t>
            </w:r>
          </w:p>
        </w:tc>
        <w:tc>
          <w:tcPr>
            <w:tcW w:w="1870" w:type="dxa"/>
            <w:vAlign w:val="center"/>
          </w:tcPr>
          <w:p w14:paraId="4B5205FB" w14:textId="30BABA02" w:rsidR="00A64111" w:rsidRPr="007504E6" w:rsidRDefault="00A64111" w:rsidP="00A64111">
            <w:pPr>
              <w:pStyle w:val="Bezatstarpm"/>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n-GB"/>
              </w:rPr>
            </w:pPr>
            <w:r w:rsidRPr="007504E6">
              <w:rPr>
                <w:b w:val="0"/>
                <w:lang w:val="en-GB"/>
              </w:rPr>
              <w:t>Costs for maintenance and operation of machines and mechanisms</w:t>
            </w:r>
          </w:p>
        </w:tc>
        <w:tc>
          <w:tcPr>
            <w:tcW w:w="1355" w:type="dxa"/>
            <w:vAlign w:val="center"/>
          </w:tcPr>
          <w:p w14:paraId="24BC4C98" w14:textId="4572F03F" w:rsidR="00A64111" w:rsidRPr="007504E6" w:rsidRDefault="00A64111" w:rsidP="00A64111">
            <w:pPr>
              <w:pStyle w:val="Bezatstarpm"/>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n-GB"/>
              </w:rPr>
            </w:pPr>
            <w:r w:rsidRPr="007504E6">
              <w:rPr>
                <w:b w:val="0"/>
                <w:lang w:val="en-GB"/>
              </w:rPr>
              <w:t>Services</w:t>
            </w:r>
          </w:p>
        </w:tc>
        <w:tc>
          <w:tcPr>
            <w:tcW w:w="913" w:type="dxa"/>
            <w:vAlign w:val="center"/>
          </w:tcPr>
          <w:p w14:paraId="66D337F6" w14:textId="32EE4BC7" w:rsidR="00A64111" w:rsidRPr="007504E6" w:rsidRDefault="00A64111" w:rsidP="00A64111">
            <w:pPr>
              <w:pStyle w:val="Bezatstarpm"/>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n-GB"/>
              </w:rPr>
            </w:pPr>
            <w:r w:rsidRPr="007504E6">
              <w:rPr>
                <w:b w:val="0"/>
                <w:lang w:val="en-GB"/>
              </w:rPr>
              <w:t>Total</w:t>
            </w:r>
          </w:p>
        </w:tc>
      </w:tr>
      <w:tr w:rsidR="00832F9B" w:rsidRPr="007504E6" w14:paraId="66F2C89A" w14:textId="77777777" w:rsidTr="00D7461E">
        <w:trPr>
          <w:trHeight w:val="567"/>
        </w:trPr>
        <w:tc>
          <w:tcPr>
            <w:cnfStyle w:val="001000000000" w:firstRow="0" w:lastRow="0" w:firstColumn="1" w:lastColumn="0" w:oddVBand="0" w:evenVBand="0" w:oddHBand="0" w:evenHBand="0" w:firstRowFirstColumn="0" w:firstRowLastColumn="0" w:lastRowFirstColumn="0" w:lastRowLastColumn="0"/>
            <w:tcW w:w="1993" w:type="dxa"/>
          </w:tcPr>
          <w:p w14:paraId="14407017" w14:textId="424D79DA" w:rsidR="00832F9B" w:rsidRPr="007504E6" w:rsidRDefault="00832F9B" w:rsidP="00832F9B">
            <w:pPr>
              <w:pStyle w:val="Bezatstarpm"/>
              <w:ind w:firstLine="0"/>
              <w:rPr>
                <w:rFonts w:ascii="Times New Roman" w:hAnsi="Times New Roman" w:cs="Times New Roman"/>
                <w:szCs w:val="20"/>
                <w:lang w:val="en-GB"/>
              </w:rPr>
            </w:pPr>
            <w:r w:rsidRPr="007504E6">
              <w:rPr>
                <w:lang w:val="en-GB"/>
              </w:rPr>
              <w:t>Residential and residential buildings</w:t>
            </w:r>
          </w:p>
        </w:tc>
        <w:tc>
          <w:tcPr>
            <w:tcW w:w="1502" w:type="dxa"/>
            <w:vAlign w:val="center"/>
          </w:tcPr>
          <w:p w14:paraId="0718D71C" w14:textId="77777777" w:rsidR="00832F9B" w:rsidRPr="007504E6" w:rsidRDefault="00832F9B" w:rsidP="00832F9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E</w:t>
            </w:r>
          </w:p>
        </w:tc>
        <w:tc>
          <w:tcPr>
            <w:tcW w:w="1502" w:type="dxa"/>
            <w:vAlign w:val="center"/>
          </w:tcPr>
          <w:p w14:paraId="5F00FBDA" w14:textId="77777777" w:rsidR="00832F9B" w:rsidRPr="007504E6" w:rsidRDefault="00832F9B" w:rsidP="00832F9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E</w:t>
            </w:r>
          </w:p>
        </w:tc>
        <w:tc>
          <w:tcPr>
            <w:tcW w:w="1870" w:type="dxa"/>
            <w:vAlign w:val="center"/>
          </w:tcPr>
          <w:p w14:paraId="43CABA41" w14:textId="77777777" w:rsidR="00832F9B" w:rsidRPr="007504E6" w:rsidRDefault="00832F9B" w:rsidP="00832F9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E</w:t>
            </w:r>
          </w:p>
        </w:tc>
        <w:tc>
          <w:tcPr>
            <w:tcW w:w="1355" w:type="dxa"/>
            <w:vAlign w:val="center"/>
          </w:tcPr>
          <w:p w14:paraId="53582435" w14:textId="77777777" w:rsidR="00832F9B" w:rsidRPr="007504E6" w:rsidRDefault="00832F9B" w:rsidP="00832F9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E</w:t>
            </w:r>
          </w:p>
        </w:tc>
        <w:tc>
          <w:tcPr>
            <w:tcW w:w="913" w:type="dxa"/>
            <w:vAlign w:val="center"/>
          </w:tcPr>
          <w:p w14:paraId="7771E1DD" w14:textId="77777777" w:rsidR="00832F9B" w:rsidRPr="007504E6" w:rsidRDefault="00832F9B" w:rsidP="00832F9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D+E</w:t>
            </w:r>
          </w:p>
        </w:tc>
      </w:tr>
      <w:tr w:rsidR="00832F9B" w:rsidRPr="007504E6" w14:paraId="18BE4932" w14:textId="77777777" w:rsidTr="00D7461E">
        <w:trPr>
          <w:trHeight w:val="567"/>
        </w:trPr>
        <w:tc>
          <w:tcPr>
            <w:cnfStyle w:val="001000000000" w:firstRow="0" w:lastRow="0" w:firstColumn="1" w:lastColumn="0" w:oddVBand="0" w:evenVBand="0" w:oddHBand="0" w:evenHBand="0" w:firstRowFirstColumn="0" w:firstRowLastColumn="0" w:lastRowFirstColumn="0" w:lastRowLastColumn="0"/>
            <w:tcW w:w="1993" w:type="dxa"/>
          </w:tcPr>
          <w:p w14:paraId="0B06BCC0" w14:textId="43A6E6A4" w:rsidR="00832F9B" w:rsidRPr="007504E6" w:rsidRDefault="00832F9B" w:rsidP="00832F9B">
            <w:pPr>
              <w:pStyle w:val="Bezatstarpm"/>
              <w:ind w:firstLine="0"/>
              <w:rPr>
                <w:rFonts w:ascii="Times New Roman" w:hAnsi="Times New Roman" w:cs="Times New Roman"/>
                <w:szCs w:val="20"/>
                <w:lang w:val="en-GB"/>
              </w:rPr>
            </w:pPr>
            <w:r w:rsidRPr="007504E6">
              <w:rPr>
                <w:lang w:val="en-GB"/>
              </w:rPr>
              <w:t>Transport objects</w:t>
            </w:r>
          </w:p>
        </w:tc>
        <w:tc>
          <w:tcPr>
            <w:tcW w:w="1502" w:type="dxa"/>
            <w:vAlign w:val="center"/>
          </w:tcPr>
          <w:p w14:paraId="1C83CE72" w14:textId="77777777" w:rsidR="00832F9B" w:rsidRPr="007504E6" w:rsidRDefault="00832F9B" w:rsidP="00832F9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E</w:t>
            </w:r>
          </w:p>
        </w:tc>
        <w:tc>
          <w:tcPr>
            <w:tcW w:w="1502" w:type="dxa"/>
            <w:vAlign w:val="center"/>
          </w:tcPr>
          <w:p w14:paraId="0793A3D7" w14:textId="77777777" w:rsidR="00832F9B" w:rsidRPr="007504E6" w:rsidRDefault="00832F9B" w:rsidP="00832F9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E</w:t>
            </w:r>
          </w:p>
        </w:tc>
        <w:tc>
          <w:tcPr>
            <w:tcW w:w="1870" w:type="dxa"/>
            <w:vAlign w:val="center"/>
          </w:tcPr>
          <w:p w14:paraId="460119F7" w14:textId="77777777" w:rsidR="00832F9B" w:rsidRPr="007504E6" w:rsidRDefault="00832F9B" w:rsidP="00832F9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E</w:t>
            </w:r>
          </w:p>
        </w:tc>
        <w:tc>
          <w:tcPr>
            <w:tcW w:w="1355" w:type="dxa"/>
            <w:vAlign w:val="center"/>
          </w:tcPr>
          <w:p w14:paraId="334DEEAD" w14:textId="77777777" w:rsidR="00832F9B" w:rsidRPr="007504E6" w:rsidRDefault="00832F9B" w:rsidP="00832F9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E</w:t>
            </w:r>
          </w:p>
        </w:tc>
        <w:tc>
          <w:tcPr>
            <w:tcW w:w="913" w:type="dxa"/>
            <w:vAlign w:val="center"/>
          </w:tcPr>
          <w:p w14:paraId="4FCA236F" w14:textId="77777777" w:rsidR="00832F9B" w:rsidRPr="007504E6" w:rsidRDefault="00832F9B" w:rsidP="00832F9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D+E</w:t>
            </w:r>
          </w:p>
        </w:tc>
      </w:tr>
      <w:tr w:rsidR="00832F9B" w:rsidRPr="007504E6" w14:paraId="1654ED3F" w14:textId="77777777" w:rsidTr="00D7461E">
        <w:trPr>
          <w:trHeight w:val="567"/>
        </w:trPr>
        <w:tc>
          <w:tcPr>
            <w:cnfStyle w:val="001000000000" w:firstRow="0" w:lastRow="0" w:firstColumn="1" w:lastColumn="0" w:oddVBand="0" w:evenVBand="0" w:oddHBand="0" w:evenHBand="0" w:firstRowFirstColumn="0" w:firstRowLastColumn="0" w:lastRowFirstColumn="0" w:lastRowLastColumn="0"/>
            <w:tcW w:w="1993" w:type="dxa"/>
          </w:tcPr>
          <w:p w14:paraId="570ABDE8" w14:textId="75FE2691" w:rsidR="00832F9B" w:rsidRPr="007504E6" w:rsidRDefault="00832F9B" w:rsidP="00832F9B">
            <w:pPr>
              <w:pStyle w:val="Bezatstarpm"/>
              <w:ind w:firstLine="0"/>
              <w:rPr>
                <w:rFonts w:ascii="Times New Roman" w:hAnsi="Times New Roman" w:cs="Times New Roman"/>
                <w:szCs w:val="20"/>
                <w:lang w:val="en-GB"/>
              </w:rPr>
            </w:pPr>
            <w:r w:rsidRPr="007504E6">
              <w:rPr>
                <w:lang w:val="en-GB"/>
              </w:rPr>
              <w:t>Urban infrastructure objects</w:t>
            </w:r>
          </w:p>
        </w:tc>
        <w:tc>
          <w:tcPr>
            <w:tcW w:w="1502" w:type="dxa"/>
            <w:vAlign w:val="center"/>
          </w:tcPr>
          <w:p w14:paraId="522456B4" w14:textId="77777777" w:rsidR="00832F9B" w:rsidRPr="007504E6" w:rsidRDefault="00832F9B" w:rsidP="00832F9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E</w:t>
            </w:r>
          </w:p>
        </w:tc>
        <w:tc>
          <w:tcPr>
            <w:tcW w:w="1502" w:type="dxa"/>
            <w:vAlign w:val="center"/>
          </w:tcPr>
          <w:p w14:paraId="571F2708" w14:textId="77777777" w:rsidR="00832F9B" w:rsidRPr="007504E6" w:rsidRDefault="00832F9B" w:rsidP="00832F9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E</w:t>
            </w:r>
          </w:p>
        </w:tc>
        <w:tc>
          <w:tcPr>
            <w:tcW w:w="1870" w:type="dxa"/>
            <w:vAlign w:val="center"/>
          </w:tcPr>
          <w:p w14:paraId="61295078" w14:textId="77777777" w:rsidR="00832F9B" w:rsidRPr="007504E6" w:rsidRDefault="00832F9B" w:rsidP="00832F9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E</w:t>
            </w:r>
          </w:p>
        </w:tc>
        <w:tc>
          <w:tcPr>
            <w:tcW w:w="1355" w:type="dxa"/>
            <w:vAlign w:val="center"/>
          </w:tcPr>
          <w:p w14:paraId="09010162" w14:textId="77777777" w:rsidR="00832F9B" w:rsidRPr="007504E6" w:rsidRDefault="00832F9B" w:rsidP="00832F9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E</w:t>
            </w:r>
          </w:p>
        </w:tc>
        <w:tc>
          <w:tcPr>
            <w:tcW w:w="913" w:type="dxa"/>
            <w:vAlign w:val="center"/>
          </w:tcPr>
          <w:p w14:paraId="069ED4C3" w14:textId="77777777" w:rsidR="00832F9B" w:rsidRPr="007504E6" w:rsidRDefault="00832F9B" w:rsidP="00832F9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D+E</w:t>
            </w:r>
          </w:p>
        </w:tc>
      </w:tr>
      <w:tr w:rsidR="00832F9B" w:rsidRPr="007504E6" w14:paraId="5D9B04FC" w14:textId="77777777" w:rsidTr="00D7461E">
        <w:trPr>
          <w:trHeight w:val="567"/>
        </w:trPr>
        <w:tc>
          <w:tcPr>
            <w:cnfStyle w:val="001000000000" w:firstRow="0" w:lastRow="0" w:firstColumn="1" w:lastColumn="0" w:oddVBand="0" w:evenVBand="0" w:oddHBand="0" w:evenHBand="0" w:firstRowFirstColumn="0" w:firstRowLastColumn="0" w:lastRowFirstColumn="0" w:lastRowLastColumn="0"/>
            <w:tcW w:w="1993" w:type="dxa"/>
          </w:tcPr>
          <w:p w14:paraId="531E4A66" w14:textId="3C3ED14D" w:rsidR="00832F9B" w:rsidRPr="007504E6" w:rsidRDefault="00832F9B" w:rsidP="00832F9B">
            <w:pPr>
              <w:pStyle w:val="Bezatstarpm"/>
              <w:ind w:firstLine="0"/>
              <w:rPr>
                <w:rFonts w:ascii="Times New Roman" w:hAnsi="Times New Roman" w:cs="Times New Roman"/>
                <w:szCs w:val="20"/>
                <w:lang w:val="en-GB"/>
              </w:rPr>
            </w:pPr>
            <w:r w:rsidRPr="007504E6">
              <w:rPr>
                <w:lang w:val="en-GB"/>
              </w:rPr>
              <w:t>Other civil engineering</w:t>
            </w:r>
          </w:p>
        </w:tc>
        <w:tc>
          <w:tcPr>
            <w:tcW w:w="1502" w:type="dxa"/>
            <w:vAlign w:val="center"/>
          </w:tcPr>
          <w:p w14:paraId="4C1913F4" w14:textId="77777777" w:rsidR="00832F9B" w:rsidRPr="007504E6" w:rsidRDefault="00832F9B" w:rsidP="00832F9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E</w:t>
            </w:r>
          </w:p>
        </w:tc>
        <w:tc>
          <w:tcPr>
            <w:tcW w:w="1502" w:type="dxa"/>
            <w:vAlign w:val="center"/>
          </w:tcPr>
          <w:p w14:paraId="791F5CDE" w14:textId="77777777" w:rsidR="00832F9B" w:rsidRPr="007504E6" w:rsidRDefault="00832F9B" w:rsidP="00832F9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E</w:t>
            </w:r>
          </w:p>
        </w:tc>
        <w:tc>
          <w:tcPr>
            <w:tcW w:w="1870" w:type="dxa"/>
            <w:vAlign w:val="center"/>
          </w:tcPr>
          <w:p w14:paraId="433A99B3" w14:textId="77777777" w:rsidR="00832F9B" w:rsidRPr="007504E6" w:rsidRDefault="00832F9B" w:rsidP="00832F9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E</w:t>
            </w:r>
          </w:p>
        </w:tc>
        <w:tc>
          <w:tcPr>
            <w:tcW w:w="1355" w:type="dxa"/>
            <w:vAlign w:val="center"/>
          </w:tcPr>
          <w:p w14:paraId="3A2734FB" w14:textId="77777777" w:rsidR="00832F9B" w:rsidRPr="007504E6" w:rsidRDefault="00832F9B" w:rsidP="00832F9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E</w:t>
            </w:r>
          </w:p>
        </w:tc>
        <w:tc>
          <w:tcPr>
            <w:tcW w:w="913" w:type="dxa"/>
            <w:vAlign w:val="center"/>
          </w:tcPr>
          <w:p w14:paraId="0D284991" w14:textId="77777777" w:rsidR="00832F9B" w:rsidRPr="007504E6" w:rsidRDefault="00832F9B" w:rsidP="00832F9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E</w:t>
            </w:r>
          </w:p>
        </w:tc>
      </w:tr>
      <w:tr w:rsidR="00832F9B" w:rsidRPr="007504E6" w14:paraId="7A5A8CB5" w14:textId="77777777" w:rsidTr="00D7461E">
        <w:trPr>
          <w:trHeight w:val="567"/>
        </w:trPr>
        <w:tc>
          <w:tcPr>
            <w:cnfStyle w:val="001000000000" w:firstRow="0" w:lastRow="0" w:firstColumn="1" w:lastColumn="0" w:oddVBand="0" w:evenVBand="0" w:oddHBand="0" w:evenHBand="0" w:firstRowFirstColumn="0" w:firstRowLastColumn="0" w:lastRowFirstColumn="0" w:lastRowLastColumn="0"/>
            <w:tcW w:w="1993" w:type="dxa"/>
          </w:tcPr>
          <w:p w14:paraId="1F1B1210" w14:textId="2C060802" w:rsidR="00832F9B" w:rsidRPr="007504E6" w:rsidRDefault="00832F9B" w:rsidP="00832F9B">
            <w:pPr>
              <w:pStyle w:val="Bezatstarpm"/>
              <w:ind w:firstLine="0"/>
              <w:rPr>
                <w:rFonts w:ascii="Times New Roman" w:hAnsi="Times New Roman" w:cs="Times New Roman"/>
                <w:sz w:val="22"/>
                <w:lang w:val="en-GB"/>
              </w:rPr>
            </w:pPr>
            <w:r w:rsidRPr="007504E6">
              <w:rPr>
                <w:lang w:val="en-GB"/>
              </w:rPr>
              <w:t>Total</w:t>
            </w:r>
          </w:p>
        </w:tc>
        <w:tc>
          <w:tcPr>
            <w:tcW w:w="1502" w:type="dxa"/>
            <w:vAlign w:val="center"/>
          </w:tcPr>
          <w:p w14:paraId="6C90B378" w14:textId="77777777" w:rsidR="00832F9B" w:rsidRPr="007504E6" w:rsidRDefault="00832F9B" w:rsidP="00832F9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D+E</w:t>
            </w:r>
          </w:p>
        </w:tc>
        <w:tc>
          <w:tcPr>
            <w:tcW w:w="1502" w:type="dxa"/>
            <w:vAlign w:val="center"/>
          </w:tcPr>
          <w:p w14:paraId="064203A0" w14:textId="77777777" w:rsidR="00832F9B" w:rsidRPr="007504E6" w:rsidRDefault="00832F9B" w:rsidP="00832F9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D+E</w:t>
            </w:r>
          </w:p>
        </w:tc>
        <w:tc>
          <w:tcPr>
            <w:tcW w:w="1870" w:type="dxa"/>
            <w:vAlign w:val="center"/>
          </w:tcPr>
          <w:p w14:paraId="2D91BC83" w14:textId="77777777" w:rsidR="00832F9B" w:rsidRPr="007504E6" w:rsidRDefault="00832F9B" w:rsidP="00832F9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D+E</w:t>
            </w:r>
          </w:p>
        </w:tc>
        <w:tc>
          <w:tcPr>
            <w:tcW w:w="1355" w:type="dxa"/>
            <w:vAlign w:val="center"/>
          </w:tcPr>
          <w:p w14:paraId="4AF9A796" w14:textId="77777777" w:rsidR="00832F9B" w:rsidRPr="007504E6" w:rsidRDefault="00832F9B" w:rsidP="00832F9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E</w:t>
            </w:r>
          </w:p>
        </w:tc>
        <w:tc>
          <w:tcPr>
            <w:tcW w:w="913" w:type="dxa"/>
            <w:vAlign w:val="center"/>
          </w:tcPr>
          <w:p w14:paraId="669EEF98" w14:textId="77777777" w:rsidR="00832F9B" w:rsidRPr="007504E6" w:rsidRDefault="00832F9B" w:rsidP="00832F9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504E6">
              <w:rPr>
                <w:rFonts w:ascii="Times New Roman" w:hAnsi="Times New Roman" w:cs="Times New Roman"/>
                <w:lang w:val="en-GB"/>
              </w:rPr>
              <w:t>D</w:t>
            </w:r>
          </w:p>
        </w:tc>
      </w:tr>
    </w:tbl>
    <w:p w14:paraId="7ED4EA92" w14:textId="77777777" w:rsidR="00D64C5F" w:rsidRPr="007504E6" w:rsidRDefault="00D64C5F" w:rsidP="00D64C5F">
      <w:pPr>
        <w:spacing w:line="240" w:lineRule="auto"/>
        <w:ind w:firstLine="0"/>
        <w:rPr>
          <w:rFonts w:ascii="Times New Roman" w:hAnsi="Times New Roman" w:cs="Times New Roman"/>
          <w:lang w:val="en-GB"/>
        </w:rPr>
      </w:pPr>
    </w:p>
    <w:p w14:paraId="0F03767B" w14:textId="62615FD7" w:rsidR="00657DEA" w:rsidRPr="007504E6" w:rsidRDefault="00657DEA" w:rsidP="00657DEA">
      <w:pPr>
        <w:spacing w:line="240" w:lineRule="auto"/>
        <w:ind w:firstLine="0"/>
        <w:rPr>
          <w:rFonts w:ascii="Times New Roman" w:hAnsi="Times New Roman" w:cs="Times New Roman"/>
          <w:lang w:val="en-GB"/>
        </w:rPr>
      </w:pPr>
      <w:r w:rsidRPr="007504E6">
        <w:rPr>
          <w:rFonts w:ascii="Times New Roman" w:hAnsi="Times New Roman" w:cs="Times New Roman"/>
          <w:lang w:val="en-GB"/>
        </w:rPr>
        <w:t xml:space="preserve">At the aggregated levels, a combined indicator was used to </w:t>
      </w:r>
      <w:proofErr w:type="spellStart"/>
      <w:r w:rsidRPr="007504E6">
        <w:rPr>
          <w:rFonts w:ascii="Times New Roman" w:hAnsi="Times New Roman" w:cs="Times New Roman"/>
          <w:lang w:val="en-GB"/>
        </w:rPr>
        <w:t>analyze</w:t>
      </w:r>
      <w:proofErr w:type="spellEnd"/>
      <w:r w:rsidRPr="007504E6">
        <w:rPr>
          <w:rFonts w:ascii="Times New Roman" w:hAnsi="Times New Roman" w:cs="Times New Roman"/>
          <w:lang w:val="en-GB"/>
        </w:rPr>
        <w:t xml:space="preserve"> changes in the cost of a common group of objects or common types of resources. It combined the predictions obtained in the analysis of the statistical data with the assessment provided by the experts.</w:t>
      </w:r>
    </w:p>
    <w:p w14:paraId="4CA695D8" w14:textId="77777777" w:rsidR="00657DEA" w:rsidRPr="007504E6" w:rsidRDefault="00657DEA" w:rsidP="00657DEA">
      <w:pPr>
        <w:spacing w:line="240" w:lineRule="auto"/>
        <w:ind w:firstLine="0"/>
        <w:rPr>
          <w:rFonts w:ascii="Times New Roman" w:hAnsi="Times New Roman" w:cs="Times New Roman"/>
          <w:lang w:val="en-GB"/>
        </w:rPr>
      </w:pPr>
    </w:p>
    <w:p w14:paraId="12E50688" w14:textId="2DCF5809" w:rsidR="00657DEA" w:rsidRPr="007504E6" w:rsidRDefault="00657DEA" w:rsidP="00657DEA">
      <w:pPr>
        <w:spacing w:line="240" w:lineRule="auto"/>
        <w:ind w:firstLine="0"/>
        <w:rPr>
          <w:rFonts w:ascii="Times New Roman" w:hAnsi="Times New Roman" w:cs="Times New Roman"/>
          <w:lang w:val="en-GB"/>
        </w:rPr>
      </w:pPr>
      <w:r w:rsidRPr="007504E6">
        <w:rPr>
          <w:rFonts w:ascii="Times New Roman" w:hAnsi="Times New Roman" w:cs="Times New Roman"/>
          <w:lang w:val="en-GB"/>
        </w:rPr>
        <w:t>As a final product, three types of cost change forecasts were proposed, depending on the principle of obtaining them.</w:t>
      </w:r>
    </w:p>
    <w:p w14:paraId="06711F93" w14:textId="77777777" w:rsidR="00657DEA" w:rsidRPr="007504E6" w:rsidRDefault="00657DEA" w:rsidP="00657DEA">
      <w:pPr>
        <w:spacing w:line="240" w:lineRule="auto"/>
        <w:ind w:firstLine="0"/>
        <w:rPr>
          <w:rFonts w:ascii="Times New Roman" w:hAnsi="Times New Roman" w:cs="Times New Roman"/>
          <w:lang w:val="en-GB"/>
        </w:rPr>
      </w:pPr>
    </w:p>
    <w:p w14:paraId="77384B92" w14:textId="3CD4F6C3" w:rsidR="00657DEA" w:rsidRPr="007504E6" w:rsidRDefault="00657DEA" w:rsidP="00657DEA">
      <w:pPr>
        <w:spacing w:line="240" w:lineRule="auto"/>
        <w:ind w:firstLine="0"/>
        <w:rPr>
          <w:rFonts w:ascii="Times New Roman" w:hAnsi="Times New Roman" w:cs="Times New Roman"/>
          <w:lang w:val="en-GB"/>
        </w:rPr>
      </w:pPr>
      <w:r w:rsidRPr="007504E6">
        <w:rPr>
          <w:rFonts w:ascii="Times New Roman" w:hAnsi="Times New Roman" w:cs="Times New Roman"/>
          <w:u w:val="single"/>
          <w:lang w:val="en-GB"/>
        </w:rPr>
        <w:t>Option I</w:t>
      </w:r>
      <w:r w:rsidRPr="007504E6">
        <w:rPr>
          <w:rFonts w:ascii="Times New Roman" w:hAnsi="Times New Roman" w:cs="Times New Roman"/>
          <w:lang w:val="en-GB"/>
        </w:rPr>
        <w:t xml:space="preserve"> - extrapolating forecast of statistical data.</w:t>
      </w:r>
    </w:p>
    <w:p w14:paraId="510B5EB2" w14:textId="77777777" w:rsidR="00657DEA" w:rsidRPr="007504E6" w:rsidRDefault="00657DEA" w:rsidP="00657DEA">
      <w:pPr>
        <w:spacing w:line="240" w:lineRule="auto"/>
        <w:ind w:firstLine="0"/>
        <w:rPr>
          <w:rFonts w:ascii="Times New Roman" w:hAnsi="Times New Roman" w:cs="Times New Roman"/>
          <w:lang w:val="en-GB"/>
        </w:rPr>
      </w:pPr>
    </w:p>
    <w:p w14:paraId="45B81AC6" w14:textId="3C3CB3EC" w:rsidR="00657DEA" w:rsidRPr="007504E6" w:rsidRDefault="00657DEA" w:rsidP="00657DEA">
      <w:pPr>
        <w:spacing w:line="240" w:lineRule="auto"/>
        <w:ind w:firstLine="0"/>
        <w:rPr>
          <w:rFonts w:ascii="Times New Roman" w:hAnsi="Times New Roman" w:cs="Times New Roman"/>
          <w:lang w:val="en-GB"/>
        </w:rPr>
      </w:pPr>
      <w:r w:rsidRPr="007504E6">
        <w:rPr>
          <w:rFonts w:ascii="Times New Roman" w:hAnsi="Times New Roman" w:cs="Times New Roman"/>
          <w:lang w:val="en-GB"/>
        </w:rPr>
        <w:t xml:space="preserve">The forecast was obtained on the basis of statistical data by </w:t>
      </w:r>
      <w:proofErr w:type="spellStart"/>
      <w:r w:rsidRPr="007504E6">
        <w:rPr>
          <w:rFonts w:ascii="Times New Roman" w:hAnsi="Times New Roman" w:cs="Times New Roman"/>
          <w:lang w:val="en-GB"/>
        </w:rPr>
        <w:t>modeling</w:t>
      </w:r>
      <w:proofErr w:type="spellEnd"/>
      <w:r w:rsidRPr="007504E6">
        <w:rPr>
          <w:rFonts w:ascii="Times New Roman" w:hAnsi="Times New Roman" w:cs="Times New Roman"/>
          <w:lang w:val="en-GB"/>
        </w:rPr>
        <w:t xml:space="preserve"> the possible further development, if the current trends were maintained. The forecast of this variant was intended for cases when it was not possible to obtain the forecast of another variant in the required time frames and an operative solution is required.</w:t>
      </w:r>
    </w:p>
    <w:p w14:paraId="7FCF35BA" w14:textId="77777777" w:rsidR="00657DEA" w:rsidRPr="007504E6" w:rsidRDefault="00657DEA" w:rsidP="00657DEA">
      <w:pPr>
        <w:spacing w:line="240" w:lineRule="auto"/>
        <w:ind w:firstLine="0"/>
        <w:rPr>
          <w:rFonts w:ascii="Times New Roman" w:hAnsi="Times New Roman" w:cs="Times New Roman"/>
          <w:lang w:val="en-GB"/>
        </w:rPr>
      </w:pPr>
    </w:p>
    <w:p w14:paraId="42E7E5C9" w14:textId="4B4D2E56" w:rsidR="00657DEA" w:rsidRPr="007504E6" w:rsidRDefault="00657DEA" w:rsidP="00657DEA">
      <w:pPr>
        <w:spacing w:line="240" w:lineRule="auto"/>
        <w:ind w:firstLine="0"/>
        <w:rPr>
          <w:rFonts w:ascii="Times New Roman" w:hAnsi="Times New Roman" w:cs="Times New Roman"/>
          <w:lang w:val="en-GB"/>
        </w:rPr>
      </w:pPr>
      <w:r w:rsidRPr="007504E6">
        <w:rPr>
          <w:rFonts w:ascii="Times New Roman" w:hAnsi="Times New Roman" w:cs="Times New Roman"/>
          <w:u w:val="single"/>
          <w:lang w:val="en-GB"/>
        </w:rPr>
        <w:t>Option II</w:t>
      </w:r>
      <w:r w:rsidRPr="007504E6">
        <w:rPr>
          <w:rFonts w:ascii="Times New Roman" w:hAnsi="Times New Roman" w:cs="Times New Roman"/>
          <w:lang w:val="en-GB"/>
        </w:rPr>
        <w:t xml:space="preserve"> - combined (expert-statistical) forecast.</w:t>
      </w:r>
    </w:p>
    <w:p w14:paraId="6AF76631" w14:textId="77777777" w:rsidR="00657DEA" w:rsidRPr="007504E6" w:rsidRDefault="00657DEA" w:rsidP="00657DEA">
      <w:pPr>
        <w:spacing w:line="240" w:lineRule="auto"/>
        <w:ind w:firstLine="0"/>
        <w:rPr>
          <w:rFonts w:ascii="Times New Roman" w:hAnsi="Times New Roman" w:cs="Times New Roman"/>
          <w:lang w:val="en-GB"/>
        </w:rPr>
      </w:pPr>
    </w:p>
    <w:p w14:paraId="55673147" w14:textId="3018548C" w:rsidR="00657DEA" w:rsidRPr="007504E6" w:rsidRDefault="00657DEA" w:rsidP="00657DEA">
      <w:pPr>
        <w:spacing w:line="240" w:lineRule="auto"/>
        <w:ind w:firstLine="0"/>
        <w:rPr>
          <w:rFonts w:ascii="Times New Roman" w:hAnsi="Times New Roman" w:cs="Times New Roman"/>
          <w:lang w:val="en-GB"/>
        </w:rPr>
      </w:pPr>
      <w:r w:rsidRPr="007504E6">
        <w:rPr>
          <w:rFonts w:ascii="Times New Roman" w:hAnsi="Times New Roman" w:cs="Times New Roman"/>
          <w:lang w:val="en-GB"/>
        </w:rPr>
        <w:t>The forecast was developed on the basis of extrapolation of dynamic series, which was adjusted with the obtained average future values ​​estimated by experts. The adjusted forecast was developed as a weighted average expert and model forecast. The forecast of this variant is intended as a final forecast for groups of objects and types of resources where statistical information is available.</w:t>
      </w:r>
    </w:p>
    <w:p w14:paraId="30704452" w14:textId="77777777" w:rsidR="00657DEA" w:rsidRPr="007504E6" w:rsidRDefault="00657DEA" w:rsidP="00657DEA">
      <w:pPr>
        <w:spacing w:line="240" w:lineRule="auto"/>
        <w:ind w:firstLine="0"/>
        <w:rPr>
          <w:rFonts w:ascii="Times New Roman" w:hAnsi="Times New Roman" w:cs="Times New Roman"/>
          <w:lang w:val="en-GB"/>
        </w:rPr>
      </w:pPr>
    </w:p>
    <w:p w14:paraId="72DA41CA" w14:textId="5DF9BFE0" w:rsidR="00657DEA" w:rsidRPr="007504E6" w:rsidRDefault="00657DEA" w:rsidP="00657DEA">
      <w:pPr>
        <w:spacing w:line="240" w:lineRule="auto"/>
        <w:ind w:firstLine="0"/>
        <w:rPr>
          <w:rFonts w:ascii="Times New Roman" w:hAnsi="Times New Roman" w:cs="Times New Roman"/>
          <w:lang w:val="en-GB"/>
        </w:rPr>
      </w:pPr>
      <w:r w:rsidRPr="007504E6">
        <w:rPr>
          <w:rFonts w:ascii="Times New Roman" w:hAnsi="Times New Roman" w:cs="Times New Roman"/>
          <w:u w:val="single"/>
          <w:lang w:val="en-GB"/>
        </w:rPr>
        <w:t>Option III</w:t>
      </w:r>
      <w:r w:rsidRPr="007504E6">
        <w:rPr>
          <w:rFonts w:ascii="Times New Roman" w:hAnsi="Times New Roman" w:cs="Times New Roman"/>
          <w:lang w:val="en-GB"/>
        </w:rPr>
        <w:t xml:space="preserve"> - expert forecasts.</w:t>
      </w:r>
    </w:p>
    <w:p w14:paraId="5142D628" w14:textId="77777777" w:rsidR="00657DEA" w:rsidRPr="007504E6" w:rsidRDefault="00657DEA" w:rsidP="00657DEA">
      <w:pPr>
        <w:spacing w:line="240" w:lineRule="auto"/>
        <w:ind w:firstLine="0"/>
        <w:rPr>
          <w:rFonts w:ascii="Times New Roman" w:hAnsi="Times New Roman" w:cs="Times New Roman"/>
          <w:lang w:val="en-GB"/>
        </w:rPr>
      </w:pPr>
    </w:p>
    <w:p w14:paraId="68F6CC39" w14:textId="3A1AC9C9" w:rsidR="00D64C5F" w:rsidRPr="007504E6" w:rsidRDefault="00657DEA" w:rsidP="00657DEA">
      <w:pPr>
        <w:spacing w:line="240" w:lineRule="auto"/>
        <w:ind w:firstLine="0"/>
        <w:rPr>
          <w:rFonts w:ascii="Times New Roman" w:hAnsi="Times New Roman" w:cs="Times New Roman"/>
          <w:lang w:val="en-GB"/>
        </w:rPr>
      </w:pPr>
      <w:r w:rsidRPr="007504E6">
        <w:rPr>
          <w:rFonts w:ascii="Times New Roman" w:hAnsi="Times New Roman" w:cs="Times New Roman"/>
          <w:lang w:val="en-GB"/>
        </w:rPr>
        <w:t>The expert forecast was used as the final forecast for cases when statistical data were not available for certain groups of researched indicators. In this case, the average expert forecasts with their standard deviations were used</w:t>
      </w:r>
      <w:r w:rsidR="00D64C5F" w:rsidRPr="007504E6">
        <w:rPr>
          <w:rFonts w:ascii="Times New Roman" w:hAnsi="Times New Roman" w:cs="Times New Roman"/>
          <w:lang w:val="en-GB"/>
        </w:rPr>
        <w:t>.</w:t>
      </w:r>
    </w:p>
    <w:p w14:paraId="5F059D9E" w14:textId="1E98A244" w:rsidR="00D64C5F" w:rsidRPr="007504E6" w:rsidRDefault="007275F5" w:rsidP="00D64C5F">
      <w:pPr>
        <w:keepNext/>
        <w:spacing w:line="240" w:lineRule="auto"/>
        <w:ind w:firstLine="0"/>
        <w:rPr>
          <w:rFonts w:ascii="Times New Roman" w:hAnsi="Times New Roman" w:cs="Times New Roman"/>
          <w:lang w:val="en-GB"/>
        </w:rPr>
      </w:pPr>
      <w:r w:rsidRPr="007504E6">
        <w:rPr>
          <w:noProof/>
          <w:lang w:val="en-GB"/>
        </w:rPr>
        <mc:AlternateContent>
          <mc:Choice Requires="wpc">
            <w:drawing>
              <wp:inline distT="0" distB="0" distL="0" distR="0" wp14:anchorId="6095C632" wp14:editId="6CE14E8B">
                <wp:extent cx="5486400" cy="5868538"/>
                <wp:effectExtent l="0" t="0" r="19050" b="18415"/>
                <wp:docPr id="215" name="Canvas 2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bg1">
                              <a:lumMod val="50000"/>
                            </a:schemeClr>
                          </a:solidFill>
                        </a:ln>
                      </wpc:whole>
                      <wps:wsp>
                        <wps:cNvPr id="3" name="Text Box 3"/>
                        <wps:cNvSpPr txBox="1"/>
                        <wps:spPr>
                          <a:xfrm>
                            <a:off x="750627" y="3483219"/>
                            <a:ext cx="3973772" cy="1771611"/>
                          </a:xfrm>
                          <a:prstGeom prst="rect">
                            <a:avLst/>
                          </a:prstGeom>
                          <a:solidFill>
                            <a:schemeClr val="lt1"/>
                          </a:solidFill>
                          <a:ln w="12700">
                            <a:solidFill>
                              <a:schemeClr val="accent2">
                                <a:lumMod val="75000"/>
                              </a:schemeClr>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4FCF143E" w14:textId="77777777" w:rsidR="007275F5" w:rsidRPr="00490847" w:rsidRDefault="007275F5" w:rsidP="007275F5">
                              <w:pPr>
                                <w:spacing w:line="276" w:lineRule="auto"/>
                                <w:ind w:firstLine="0"/>
                                <w:jc w:val="center"/>
                                <w:rPr>
                                  <w:color w:val="C45911" w:themeColor="accent2" w:themeShade="BF"/>
                                </w:rPr>
                              </w:pPr>
                              <w:r w:rsidRPr="008662EF">
                                <w:rPr>
                                  <w:color w:val="C45911" w:themeColor="accent2" w:themeShade="BF"/>
                                </w:rPr>
                                <w:t>Forecast variants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0" name="Text Box 4"/>
                        <wps:cNvSpPr txBox="1"/>
                        <wps:spPr>
                          <a:xfrm>
                            <a:off x="1924334" y="307076"/>
                            <a:ext cx="1828800" cy="348018"/>
                          </a:xfrm>
                          <a:prstGeom prst="rect">
                            <a:avLst/>
                          </a:prstGeom>
                          <a:solidFill>
                            <a:schemeClr val="lt1"/>
                          </a:solidFill>
                          <a:ln w="9525">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64880DD" w14:textId="77777777" w:rsidR="007275F5" w:rsidRPr="00490847" w:rsidRDefault="007275F5" w:rsidP="007275F5">
                              <w:pPr>
                                <w:spacing w:line="240" w:lineRule="auto"/>
                                <w:ind w:firstLine="0"/>
                                <w:jc w:val="center"/>
                              </w:pPr>
                              <w:r w:rsidRPr="00AD3641">
                                <w:t>Data retrieval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750627" y="1214650"/>
                            <a:ext cx="1508077" cy="600503"/>
                          </a:xfrm>
                          <a:prstGeom prst="rect">
                            <a:avLst/>
                          </a:prstGeom>
                          <a:solidFill>
                            <a:schemeClr val="lt1"/>
                          </a:solidFill>
                          <a:ln w="9525">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6847F2B" w14:textId="77777777" w:rsidR="007275F5" w:rsidRDefault="007275F5" w:rsidP="007275F5">
                              <w:pPr>
                                <w:spacing w:line="240" w:lineRule="auto"/>
                                <w:ind w:firstLine="0"/>
                                <w:jc w:val="center"/>
                              </w:pPr>
                              <w:r w:rsidRPr="00AD3641">
                                <w:t>The main trend models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Elbow Connector 7"/>
                        <wps:cNvCnPr/>
                        <wps:spPr>
                          <a:xfrm rot="5400000">
                            <a:off x="1891922" y="267838"/>
                            <a:ext cx="559556" cy="1334068"/>
                          </a:xfrm>
                          <a:prstGeom prst="bentConnector3">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7" name="Text Box 47"/>
                        <wps:cNvSpPr txBox="1"/>
                        <wps:spPr>
                          <a:xfrm>
                            <a:off x="3216322" y="2440392"/>
                            <a:ext cx="1508077" cy="426347"/>
                          </a:xfrm>
                          <a:prstGeom prst="rect">
                            <a:avLst/>
                          </a:prstGeom>
                          <a:solidFill>
                            <a:schemeClr val="lt1"/>
                          </a:solidFill>
                          <a:ln w="9525">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40F6925" w14:textId="77777777" w:rsidR="007275F5" w:rsidRPr="0000418A" w:rsidRDefault="007275F5" w:rsidP="007275F5">
                              <w:pPr>
                                <w:spacing w:line="240" w:lineRule="auto"/>
                                <w:ind w:firstLine="0"/>
                                <w:jc w:val="center"/>
                                <w:rPr>
                                  <w:sz w:val="20"/>
                                </w:rPr>
                              </w:pPr>
                              <w:r w:rsidRPr="001B5C6C">
                                <w:rPr>
                                  <w:sz w:val="20"/>
                                </w:rPr>
                                <w:t>Compilation of expert assessments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Elbow Connector 9"/>
                        <wps:cNvCnPr/>
                        <wps:spPr>
                          <a:xfrm rot="16200000" flipH="1">
                            <a:off x="3124887" y="368940"/>
                            <a:ext cx="559320" cy="1131627"/>
                          </a:xfrm>
                          <a:prstGeom prst="bentConnector3">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5" name="Text Box 195"/>
                        <wps:cNvSpPr txBox="1"/>
                        <wps:spPr>
                          <a:xfrm>
                            <a:off x="750627" y="2295666"/>
                            <a:ext cx="1508077" cy="600503"/>
                          </a:xfrm>
                          <a:prstGeom prst="rect">
                            <a:avLst/>
                          </a:prstGeom>
                          <a:solidFill>
                            <a:schemeClr val="lt1"/>
                          </a:solidFill>
                          <a:ln w="9525">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E415FB9" w14:textId="77777777" w:rsidR="007275F5" w:rsidRDefault="007275F5" w:rsidP="007275F5">
                              <w:pPr>
                                <w:spacing w:line="240" w:lineRule="auto"/>
                                <w:ind w:firstLine="0"/>
                                <w:jc w:val="center"/>
                              </w:pPr>
                              <w:r w:rsidRPr="00AD3641">
                                <w:t>Model quality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Straight Arrow Connector 197"/>
                        <wps:cNvCnPr/>
                        <wps:spPr>
                          <a:xfrm>
                            <a:off x="1504666" y="1815153"/>
                            <a:ext cx="0" cy="480513"/>
                          </a:xfrm>
                          <a:prstGeom prst="straightConnector1">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0" name="Text Box 200"/>
                        <wps:cNvSpPr txBox="1"/>
                        <wps:spPr>
                          <a:xfrm>
                            <a:off x="803327" y="3619153"/>
                            <a:ext cx="1224000" cy="1260000"/>
                          </a:xfrm>
                          <a:prstGeom prst="rect">
                            <a:avLst/>
                          </a:prstGeom>
                          <a:solidFill>
                            <a:schemeClr val="lt1"/>
                          </a:solidFill>
                          <a:ln w="9525">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D02074A" w14:textId="77777777" w:rsidR="007275F5" w:rsidRDefault="007275F5" w:rsidP="007275F5">
                              <w:pPr>
                                <w:spacing w:line="240" w:lineRule="auto"/>
                                <w:ind w:firstLine="0"/>
                                <w:jc w:val="center"/>
                              </w:pPr>
                              <w:r>
                                <w:t>Option I</w:t>
                              </w:r>
                            </w:p>
                            <w:p w14:paraId="71DE5581" w14:textId="77777777" w:rsidR="007275F5" w:rsidRDefault="007275F5" w:rsidP="007275F5">
                              <w:pPr>
                                <w:spacing w:line="240" w:lineRule="auto"/>
                                <w:ind w:firstLine="0"/>
                                <w:jc w:val="center"/>
                              </w:pPr>
                            </w:p>
                            <w:p w14:paraId="79833BD5" w14:textId="77777777" w:rsidR="007275F5" w:rsidRDefault="007275F5" w:rsidP="007275F5">
                              <w:pPr>
                                <w:spacing w:line="240" w:lineRule="auto"/>
                                <w:ind w:firstLine="0"/>
                                <w:jc w:val="center"/>
                              </w:pPr>
                              <w:r>
                                <w:t>Extrapolating forecast of statistical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 name="Text Box 204"/>
                        <wps:cNvSpPr txBox="1"/>
                        <wps:spPr>
                          <a:xfrm>
                            <a:off x="3447562" y="3619179"/>
                            <a:ext cx="1224000" cy="1260000"/>
                          </a:xfrm>
                          <a:prstGeom prst="rect">
                            <a:avLst/>
                          </a:prstGeom>
                          <a:solidFill>
                            <a:schemeClr val="lt1"/>
                          </a:solidFill>
                          <a:ln w="9525">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A9B51E4" w14:textId="77777777" w:rsidR="007275F5" w:rsidRDefault="007275F5" w:rsidP="007275F5">
                              <w:pPr>
                                <w:spacing w:line="240" w:lineRule="auto"/>
                                <w:ind w:firstLine="0"/>
                                <w:jc w:val="center"/>
                              </w:pPr>
                              <w:r>
                                <w:t>Option III</w:t>
                              </w:r>
                            </w:p>
                            <w:p w14:paraId="73A166E0" w14:textId="77777777" w:rsidR="007275F5" w:rsidRDefault="007275F5" w:rsidP="007275F5">
                              <w:pPr>
                                <w:spacing w:line="240" w:lineRule="auto"/>
                                <w:ind w:firstLine="0"/>
                                <w:jc w:val="center"/>
                              </w:pPr>
                            </w:p>
                            <w:p w14:paraId="11F4916B" w14:textId="77777777" w:rsidR="007275F5" w:rsidRDefault="007275F5" w:rsidP="007275F5">
                              <w:pPr>
                                <w:spacing w:line="240" w:lineRule="auto"/>
                                <w:ind w:firstLine="0"/>
                                <w:jc w:val="center"/>
                              </w:pPr>
                              <w:r>
                                <w:t>Expert forecast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Straight Arrow Connector 205"/>
                        <wps:cNvCnPr/>
                        <wps:spPr>
                          <a:xfrm flipH="1">
                            <a:off x="1415327" y="2896169"/>
                            <a:ext cx="89339" cy="722984"/>
                          </a:xfrm>
                          <a:prstGeom prst="straightConnector1">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8" name="Straight Arrow Connector 208"/>
                        <wps:cNvCnPr/>
                        <wps:spPr>
                          <a:xfrm>
                            <a:off x="1504666" y="2896169"/>
                            <a:ext cx="1238572" cy="723013"/>
                          </a:xfrm>
                          <a:prstGeom prst="straightConnector1">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9" name="Straight Arrow Connector 209"/>
                        <wps:cNvCnPr/>
                        <wps:spPr>
                          <a:xfrm flipH="1">
                            <a:off x="2743238" y="2866739"/>
                            <a:ext cx="1227123" cy="752443"/>
                          </a:xfrm>
                          <a:prstGeom prst="straightConnector1">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0" name="Straight Arrow Connector 210"/>
                        <wps:cNvCnPr/>
                        <wps:spPr>
                          <a:xfrm>
                            <a:off x="3970361" y="2866739"/>
                            <a:ext cx="89201" cy="752440"/>
                          </a:xfrm>
                          <a:prstGeom prst="straightConnector1">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1" name="Text Box 211"/>
                        <wps:cNvSpPr txBox="1"/>
                        <wps:spPr>
                          <a:xfrm>
                            <a:off x="2131238" y="3619182"/>
                            <a:ext cx="1224000" cy="1260000"/>
                          </a:xfrm>
                          <a:prstGeom prst="rect">
                            <a:avLst/>
                          </a:prstGeom>
                          <a:solidFill>
                            <a:schemeClr val="lt1"/>
                          </a:solidFill>
                          <a:ln w="9525">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E7B7B07" w14:textId="77777777" w:rsidR="007275F5" w:rsidRDefault="007275F5" w:rsidP="007275F5">
                              <w:pPr>
                                <w:spacing w:line="240" w:lineRule="auto"/>
                                <w:ind w:firstLine="0"/>
                                <w:jc w:val="center"/>
                              </w:pPr>
                              <w:r>
                                <w:t>Option II</w:t>
                              </w:r>
                            </w:p>
                            <w:p w14:paraId="122BAE7C" w14:textId="77777777" w:rsidR="007275F5" w:rsidRDefault="007275F5" w:rsidP="007275F5">
                              <w:pPr>
                                <w:spacing w:line="240" w:lineRule="auto"/>
                                <w:ind w:firstLine="0"/>
                                <w:jc w:val="center"/>
                              </w:pPr>
                            </w:p>
                            <w:p w14:paraId="30D1971A" w14:textId="77777777" w:rsidR="007275F5" w:rsidRDefault="007275F5" w:rsidP="007275F5">
                              <w:pPr>
                                <w:spacing w:line="240" w:lineRule="auto"/>
                                <w:ind w:firstLine="0"/>
                                <w:jc w:val="center"/>
                              </w:pPr>
                              <w:r>
                                <w:t>Combined (expert-statistical) forecast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Text Box 212"/>
                        <wps:cNvSpPr txBox="1"/>
                        <wps:spPr>
                          <a:xfrm>
                            <a:off x="3216322" y="1214414"/>
                            <a:ext cx="1508077" cy="382817"/>
                          </a:xfrm>
                          <a:prstGeom prst="rect">
                            <a:avLst/>
                          </a:prstGeom>
                          <a:solidFill>
                            <a:schemeClr val="lt1"/>
                          </a:solidFill>
                          <a:ln w="9525">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39E81EE" w14:textId="77777777" w:rsidR="007275F5" w:rsidRPr="0000418A" w:rsidRDefault="007275F5" w:rsidP="007275F5">
                              <w:pPr>
                                <w:spacing w:line="240" w:lineRule="auto"/>
                                <w:ind w:firstLine="0"/>
                                <w:jc w:val="center"/>
                                <w:rPr>
                                  <w:sz w:val="20"/>
                                </w:rPr>
                              </w:pPr>
                              <w:r w:rsidRPr="00AD3641">
                                <w:rPr>
                                  <w:sz w:val="20"/>
                                </w:rPr>
                                <w:t>Expert interviews and 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Straight Arrow Connector 213"/>
                        <wps:cNvCnPr/>
                        <wps:spPr>
                          <a:xfrm>
                            <a:off x="3970361" y="1597231"/>
                            <a:ext cx="0" cy="843161"/>
                          </a:xfrm>
                          <a:prstGeom prst="straightConnector1">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4" name="Text Box 214"/>
                        <wps:cNvSpPr txBox="1"/>
                        <wps:spPr>
                          <a:xfrm>
                            <a:off x="3735319" y="1751333"/>
                            <a:ext cx="1645791" cy="504983"/>
                          </a:xfrm>
                          <a:prstGeom prst="rect">
                            <a:avLst/>
                          </a:prstGeom>
                          <a:solidFill>
                            <a:srgbClr val="FFFFFF">
                              <a:alpha val="80000"/>
                            </a:srgbClr>
                          </a:solidFill>
                          <a:ln w="9525">
                            <a:solidFill>
                              <a:schemeClr val="bg1">
                                <a:lumMod val="65000"/>
                              </a:schemeClr>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22EB7E39" w14:textId="77777777" w:rsidR="007275F5" w:rsidRPr="001B5C6C" w:rsidRDefault="007275F5" w:rsidP="007275F5">
                              <w:pPr>
                                <w:pStyle w:val="Sarakstarindkopa"/>
                                <w:numPr>
                                  <w:ilvl w:val="0"/>
                                  <w:numId w:val="1"/>
                                </w:numPr>
                                <w:spacing w:line="240" w:lineRule="auto"/>
                                <w:jc w:val="left"/>
                                <w:rPr>
                                  <w:sz w:val="18"/>
                                </w:rPr>
                              </w:pPr>
                              <w:r w:rsidRPr="001B5C6C">
                                <w:rPr>
                                  <w:sz w:val="18"/>
                                </w:rPr>
                                <w:t>Forecasting</w:t>
                              </w:r>
                            </w:p>
                            <w:p w14:paraId="3F5626CD" w14:textId="77777777" w:rsidR="007275F5" w:rsidRPr="001B5C6C" w:rsidRDefault="007275F5" w:rsidP="007275F5">
                              <w:pPr>
                                <w:pStyle w:val="Sarakstarindkopa"/>
                                <w:numPr>
                                  <w:ilvl w:val="0"/>
                                  <w:numId w:val="1"/>
                                </w:numPr>
                                <w:spacing w:line="240" w:lineRule="auto"/>
                                <w:jc w:val="left"/>
                                <w:rPr>
                                  <w:sz w:val="18"/>
                                </w:rPr>
                              </w:pPr>
                              <w:r w:rsidRPr="001B5C6C">
                                <w:rPr>
                                  <w:sz w:val="18"/>
                                </w:rPr>
                                <w:t>Factor identification</w:t>
                              </w:r>
                            </w:p>
                            <w:p w14:paraId="671B54FF" w14:textId="77777777" w:rsidR="007275F5" w:rsidRPr="0000418A" w:rsidRDefault="007275F5" w:rsidP="007275F5">
                              <w:pPr>
                                <w:pStyle w:val="Sarakstarindkopa"/>
                                <w:numPr>
                                  <w:ilvl w:val="0"/>
                                  <w:numId w:val="1"/>
                                </w:numPr>
                                <w:spacing w:line="240" w:lineRule="auto"/>
                                <w:jc w:val="left"/>
                                <w:rPr>
                                  <w:sz w:val="18"/>
                                </w:rPr>
                              </w:pPr>
                              <w:r w:rsidRPr="001B5C6C">
                                <w:rPr>
                                  <w:sz w:val="18"/>
                                </w:rPr>
                                <w:t>Factor 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095C632" id="Canvas 215" o:spid="_x0000_s1026" editas="canvas" style="width:6in;height:462.1pt;mso-position-horizontal-relative:char;mso-position-vertical-relative:line" coordsize="54864,58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58680;visibility:visible;mso-wrap-style:square" stroked="t" strokecolor="#7f7f7f [1612]">
                  <v:fill o:detectmouseclick="t"/>
                  <v:path o:connecttype="none"/>
                </v:shape>
                <v:shapetype id="_x0000_t202" coordsize="21600,21600" o:spt="202" path="m,l,21600r21600,l21600,xe">
                  <v:stroke joinstyle="miter"/>
                  <v:path gradientshapeok="t" o:connecttype="rect"/>
                </v:shapetype>
                <v:shape id="Text Box 3" o:spid="_x0000_s1028" type="#_x0000_t202" style="position:absolute;left:7506;top:34832;width:39737;height:1771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" fillcolor="white [3201]" strokecolor="#c45911 [2405]" strokeweight="1pt">
                  <v:stroke dashstyle="3 1"/>
                  <v:textbox>
                    <w:txbxContent>
                      <w:p w14:paraId="4FCF143E" w14:textId="77777777" w:rsidR="007275F5" w:rsidRPr="00490847" w:rsidRDefault="007275F5" w:rsidP="007275F5">
                        <w:pPr>
                          <w:spacing w:line="276" w:lineRule="auto"/>
                          <w:ind w:firstLine="0"/>
                          <w:jc w:val="center"/>
                          <w:rPr>
                            <w:color w:val="C45911" w:themeColor="accent2" w:themeShade="BF"/>
                          </w:rPr>
                        </w:pPr>
                        <w:r w:rsidRPr="008662EF">
                          <w:rPr>
                            <w:color w:val="C45911" w:themeColor="accent2" w:themeShade="BF"/>
                          </w:rPr>
                          <w:t>Forecast variants</w:t>
                        </w:r>
                      </w:p>
                    </w:txbxContent>
                  </v:textbox>
                </v:shape>
                <v:shape id="Text Box 4" o:spid="_x0000_s1029" type="#_x0000_t202" style="position:absolute;left:19243;top:3070;width:18288;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" fillcolor="white [3201]" strokecolor="#a5a5a5 [2092]">
                  <v:textbox>
                    <w:txbxContent>
                      <w:p w14:paraId="564880DD" w14:textId="77777777" w:rsidR="007275F5" w:rsidRPr="00490847" w:rsidRDefault="007275F5" w:rsidP="007275F5">
                        <w:pPr>
                          <w:spacing w:line="240" w:lineRule="auto"/>
                          <w:ind w:firstLine="0"/>
                          <w:jc w:val="center"/>
                        </w:pPr>
                        <w:r w:rsidRPr="00AD3641">
                          <w:t>Data retrieval</w:t>
                        </w:r>
                      </w:p>
                    </w:txbxContent>
                  </v:textbox>
                </v:shape>
                <v:shape id="Text Box 28" o:spid="_x0000_s1030" type="#_x0000_t202" style="position:absolute;left:7506;top:12146;width:15081;height:6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" fillcolor="white [3201]" strokecolor="#a5a5a5 [2092]">
                  <v:textbox>
                    <w:txbxContent>
                      <w:p w14:paraId="36847F2B" w14:textId="77777777" w:rsidR="007275F5" w:rsidRDefault="007275F5" w:rsidP="007275F5">
                        <w:pPr>
                          <w:spacing w:line="240" w:lineRule="auto"/>
                          <w:ind w:firstLine="0"/>
                          <w:jc w:val="center"/>
                        </w:pPr>
                        <w:r w:rsidRPr="00AD3641">
                          <w:t>The main trend models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 o:spid="_x0000_s1031" type="#_x0000_t34" style="position:absolute;left:18919;top:2677;width:5596;height:1334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" strokecolor="#4472c4 [3204]" strokeweight="1pt">
                  <v:stroke endarrow="block"/>
                </v:shape>
                <v:shape id="Text Box 47" o:spid="_x0000_s1032" type="#_x0000_t202" style="position:absolute;left:32163;top:24403;width:15080;height:4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" fillcolor="white [3201]" strokecolor="#a5a5a5 [2092]">
                  <v:textbox>
                    <w:txbxContent>
                      <w:p w14:paraId="140F6925" w14:textId="77777777" w:rsidR="007275F5" w:rsidRPr="0000418A" w:rsidRDefault="007275F5" w:rsidP="007275F5">
                        <w:pPr>
                          <w:spacing w:line="240" w:lineRule="auto"/>
                          <w:ind w:firstLine="0"/>
                          <w:jc w:val="center"/>
                          <w:rPr>
                            <w:sz w:val="20"/>
                          </w:rPr>
                        </w:pPr>
                        <w:r w:rsidRPr="001B5C6C">
                          <w:rPr>
                            <w:sz w:val="20"/>
                          </w:rPr>
                          <w:t>Compilation of expert assessments</w:t>
                        </w:r>
                      </w:p>
                    </w:txbxContent>
                  </v:textbox>
                </v:shape>
                <v:shape id="Elbow Connector 9" o:spid="_x0000_s1033" type="#_x0000_t34" style="position:absolute;left:31248;top:3689;width:5594;height:1131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" strokecolor="#4472c4 [3204]" strokeweight="1pt">
                  <v:stroke endarrow="block"/>
                </v:shape>
                <v:shape id="Text Box 195" o:spid="_x0000_s1034" type="#_x0000_t202" style="position:absolute;left:7506;top:22956;width:15081;height:6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" fillcolor="white [3201]" strokecolor="#a5a5a5 [2092]">
                  <v:textbox>
                    <w:txbxContent>
                      <w:p w14:paraId="2E415FB9" w14:textId="77777777" w:rsidR="007275F5" w:rsidRDefault="007275F5" w:rsidP="007275F5">
                        <w:pPr>
                          <w:spacing w:line="240" w:lineRule="auto"/>
                          <w:ind w:firstLine="0"/>
                          <w:jc w:val="center"/>
                        </w:pPr>
                        <w:r w:rsidRPr="00AD3641">
                          <w:t>Model quality assessment</w:t>
                        </w:r>
                      </w:p>
                    </w:txbxContent>
                  </v:textbox>
                </v:shape>
                <v:shapetype id="_x0000_t32" coordsize="21600,21600" o:spt="32" o:oned="t" path="m,l21600,21600e" filled="f">
                  <v:path arrowok="t" fillok="f" o:connecttype="none"/>
                  <o:lock v:ext="edit" shapetype="t"/>
                </v:shapetype>
                <v:shape id="Straight Arrow Connector 197" o:spid="_x0000_s1035" type="#_x0000_t32" style="position:absolute;left:15046;top:18151;width:0;height:48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" strokecolor="#4472c4 [3204]" strokeweight="1pt">
                  <v:stroke endarrow="block" joinstyle="miter"/>
                </v:shape>
                <v:shape id="Text Box 200" o:spid="_x0000_s1036" type="#_x0000_t202" style="position:absolute;left:8033;top:36191;width:12240;height:1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" fillcolor="white [3201]" strokecolor="#c45911 [2405]">
                  <v:textbox>
                    <w:txbxContent>
                      <w:p w14:paraId="1D02074A" w14:textId="77777777" w:rsidR="007275F5" w:rsidRDefault="007275F5" w:rsidP="007275F5">
                        <w:pPr>
                          <w:spacing w:line="240" w:lineRule="auto"/>
                          <w:ind w:firstLine="0"/>
                          <w:jc w:val="center"/>
                        </w:pPr>
                        <w:r>
                          <w:t>Option I</w:t>
                        </w:r>
                      </w:p>
                      <w:p w14:paraId="71DE5581" w14:textId="77777777" w:rsidR="007275F5" w:rsidRDefault="007275F5" w:rsidP="007275F5">
                        <w:pPr>
                          <w:spacing w:line="240" w:lineRule="auto"/>
                          <w:ind w:firstLine="0"/>
                          <w:jc w:val="center"/>
                        </w:pPr>
                      </w:p>
                      <w:p w14:paraId="79833BD5" w14:textId="77777777" w:rsidR="007275F5" w:rsidRDefault="007275F5" w:rsidP="007275F5">
                        <w:pPr>
                          <w:spacing w:line="240" w:lineRule="auto"/>
                          <w:ind w:firstLine="0"/>
                          <w:jc w:val="center"/>
                        </w:pPr>
                        <w:r>
                          <w:t>Extrapolating forecast of statistical data</w:t>
                        </w:r>
                      </w:p>
                    </w:txbxContent>
                  </v:textbox>
                </v:shape>
                <v:shape id="Text Box 204" o:spid="_x0000_s1037" type="#_x0000_t202" style="position:absolute;left:34475;top:36191;width:12240;height:1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" fillcolor="white [3201]" strokecolor="#c45911 [2405]">
                  <v:textbox>
                    <w:txbxContent>
                      <w:p w14:paraId="3A9B51E4" w14:textId="77777777" w:rsidR="007275F5" w:rsidRDefault="007275F5" w:rsidP="007275F5">
                        <w:pPr>
                          <w:spacing w:line="240" w:lineRule="auto"/>
                          <w:ind w:firstLine="0"/>
                          <w:jc w:val="center"/>
                        </w:pPr>
                        <w:r>
                          <w:t>Option III</w:t>
                        </w:r>
                      </w:p>
                      <w:p w14:paraId="73A166E0" w14:textId="77777777" w:rsidR="007275F5" w:rsidRDefault="007275F5" w:rsidP="007275F5">
                        <w:pPr>
                          <w:spacing w:line="240" w:lineRule="auto"/>
                          <w:ind w:firstLine="0"/>
                          <w:jc w:val="center"/>
                        </w:pPr>
                      </w:p>
                      <w:p w14:paraId="11F4916B" w14:textId="77777777" w:rsidR="007275F5" w:rsidRDefault="007275F5" w:rsidP="007275F5">
                        <w:pPr>
                          <w:spacing w:line="240" w:lineRule="auto"/>
                          <w:ind w:firstLine="0"/>
                          <w:jc w:val="center"/>
                        </w:pPr>
                        <w:r>
                          <w:t>Expert forecast</w:t>
                        </w:r>
                      </w:p>
                    </w:txbxContent>
                  </v:textbox>
                </v:shape>
                <v:shape id="Straight Arrow Connector 205" o:spid="_x0000_s1038" type="#_x0000_t32" style="position:absolute;left:14153;top:28961;width:893;height:72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" strokecolor="#4472c4 [3204]" strokeweight="1pt">
                  <v:stroke endarrow="block" joinstyle="miter"/>
                </v:shape>
                <v:shape id="Straight Arrow Connector 208" o:spid="_x0000_s1039" type="#_x0000_t32" style="position:absolute;left:15046;top:28961;width:12386;height:72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" strokecolor="#4472c4 [3204]" strokeweight="1pt">
                  <v:stroke endarrow="block" joinstyle="miter"/>
                </v:shape>
                <v:shape id="Straight Arrow Connector 209" o:spid="_x0000_s1040" type="#_x0000_t32" style="position:absolute;left:27432;top:28667;width:12271;height:7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" strokecolor="#4472c4 [3204]" strokeweight="1pt">
                  <v:stroke endarrow="block" joinstyle="miter"/>
                </v:shape>
                <v:shape id="Straight Arrow Connector 210" o:spid="_x0000_s1041" type="#_x0000_t32" style="position:absolute;left:39703;top:28667;width:892;height:7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" strokecolor="#4472c4 [3204]" strokeweight="1pt">
                  <v:stroke endarrow="block" joinstyle="miter"/>
                </v:shape>
                <v:shape id="Text Box 211" o:spid="_x0000_s1042" type="#_x0000_t202" style="position:absolute;left:21312;top:36191;width:12240;height:1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" fillcolor="white [3201]" strokecolor="#c45911 [2405]">
                  <v:textbox>
                    <w:txbxContent>
                      <w:p w14:paraId="6E7B7B07" w14:textId="77777777" w:rsidR="007275F5" w:rsidRDefault="007275F5" w:rsidP="007275F5">
                        <w:pPr>
                          <w:spacing w:line="240" w:lineRule="auto"/>
                          <w:ind w:firstLine="0"/>
                          <w:jc w:val="center"/>
                        </w:pPr>
                        <w:r>
                          <w:t>Option II</w:t>
                        </w:r>
                      </w:p>
                      <w:p w14:paraId="122BAE7C" w14:textId="77777777" w:rsidR="007275F5" w:rsidRDefault="007275F5" w:rsidP="007275F5">
                        <w:pPr>
                          <w:spacing w:line="240" w:lineRule="auto"/>
                          <w:ind w:firstLine="0"/>
                          <w:jc w:val="center"/>
                        </w:pPr>
                      </w:p>
                      <w:p w14:paraId="30D1971A" w14:textId="77777777" w:rsidR="007275F5" w:rsidRDefault="007275F5" w:rsidP="007275F5">
                        <w:pPr>
                          <w:spacing w:line="240" w:lineRule="auto"/>
                          <w:ind w:firstLine="0"/>
                          <w:jc w:val="center"/>
                        </w:pPr>
                        <w:r>
                          <w:t>Combined (expert-statistical) forecast</w:t>
                        </w:r>
                      </w:p>
                    </w:txbxContent>
                  </v:textbox>
                </v:shape>
                <v:shape id="Text Box 212" o:spid="_x0000_s1043" type="#_x0000_t202" style="position:absolute;left:32163;top:12144;width:15080;height:3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" fillcolor="white [3201]" strokecolor="#a5a5a5 [2092]">
                  <v:textbox>
                    <w:txbxContent>
                      <w:p w14:paraId="739E81EE" w14:textId="77777777" w:rsidR="007275F5" w:rsidRPr="0000418A" w:rsidRDefault="007275F5" w:rsidP="007275F5">
                        <w:pPr>
                          <w:spacing w:line="240" w:lineRule="auto"/>
                          <w:ind w:firstLine="0"/>
                          <w:jc w:val="center"/>
                          <w:rPr>
                            <w:sz w:val="20"/>
                          </w:rPr>
                        </w:pPr>
                        <w:r w:rsidRPr="00AD3641">
                          <w:rPr>
                            <w:sz w:val="20"/>
                          </w:rPr>
                          <w:t>Expert interviews and survey</w:t>
                        </w:r>
                      </w:p>
                    </w:txbxContent>
                  </v:textbox>
                </v:shape>
                <v:shape id="Straight Arrow Connector 213" o:spid="_x0000_s1044" type="#_x0000_t32" style="position:absolute;left:39703;top:15972;width:0;height:84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" strokecolor="#4472c4 [3204]" strokeweight="1pt">
                  <v:stroke endarrow="block" joinstyle="miter"/>
                </v:shape>
                <v:shape id="Text Box 214" o:spid="_x0000_s1045" type="#_x0000_t202" style="position:absolute;left:37353;top:17513;width:16458;height:5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" strokecolor="#a5a5a5 [2092]">
                  <v:fill opacity="52428f"/>
                  <v:stroke dashstyle="3 1"/>
                  <v:textbox>
                    <w:txbxContent>
                      <w:p w14:paraId="22EB7E39" w14:textId="77777777" w:rsidR="007275F5" w:rsidRPr="001B5C6C" w:rsidRDefault="007275F5" w:rsidP="007275F5">
                        <w:pPr>
                          <w:pStyle w:val="ListParagraph"/>
                          <w:numPr>
                            <w:ilvl w:val="0"/>
                            <w:numId w:val="1"/>
                          </w:numPr>
                          <w:spacing w:line="240" w:lineRule="auto"/>
                          <w:jc w:val="left"/>
                          <w:rPr>
                            <w:sz w:val="18"/>
                          </w:rPr>
                        </w:pPr>
                        <w:r w:rsidRPr="001B5C6C">
                          <w:rPr>
                            <w:sz w:val="18"/>
                          </w:rPr>
                          <w:t>Forecasting</w:t>
                        </w:r>
                      </w:p>
                      <w:p w14:paraId="3F5626CD" w14:textId="77777777" w:rsidR="007275F5" w:rsidRPr="001B5C6C" w:rsidRDefault="007275F5" w:rsidP="007275F5">
                        <w:pPr>
                          <w:pStyle w:val="ListParagraph"/>
                          <w:numPr>
                            <w:ilvl w:val="0"/>
                            <w:numId w:val="1"/>
                          </w:numPr>
                          <w:spacing w:line="240" w:lineRule="auto"/>
                          <w:jc w:val="left"/>
                          <w:rPr>
                            <w:sz w:val="18"/>
                          </w:rPr>
                        </w:pPr>
                        <w:r w:rsidRPr="001B5C6C">
                          <w:rPr>
                            <w:sz w:val="18"/>
                          </w:rPr>
                          <w:t>Factor identification</w:t>
                        </w:r>
                      </w:p>
                      <w:p w14:paraId="671B54FF" w14:textId="77777777" w:rsidR="007275F5" w:rsidRPr="0000418A" w:rsidRDefault="007275F5" w:rsidP="007275F5">
                        <w:pPr>
                          <w:pStyle w:val="ListParagraph"/>
                          <w:numPr>
                            <w:ilvl w:val="0"/>
                            <w:numId w:val="1"/>
                          </w:numPr>
                          <w:spacing w:line="240" w:lineRule="auto"/>
                          <w:jc w:val="left"/>
                          <w:rPr>
                            <w:sz w:val="18"/>
                          </w:rPr>
                        </w:pPr>
                        <w:r w:rsidRPr="001B5C6C">
                          <w:rPr>
                            <w:sz w:val="18"/>
                          </w:rPr>
                          <w:t>Factor evaluation</w:t>
                        </w:r>
                      </w:p>
                    </w:txbxContent>
                  </v:textbox>
                </v:shape>
                <w10:anchorlock/>
              </v:group>
            </w:pict>
          </mc:Fallback>
        </mc:AlternateContent>
      </w:r>
    </w:p>
    <w:p w14:paraId="757C9A5A" w14:textId="66A28D12" w:rsidR="00D64C5F" w:rsidRPr="007504E6" w:rsidRDefault="007275F5" w:rsidP="00D64C5F">
      <w:pPr>
        <w:pStyle w:val="Parakstszemobjekta"/>
        <w:ind w:firstLine="0"/>
        <w:jc w:val="center"/>
        <w:rPr>
          <w:rFonts w:ascii="Times New Roman" w:hAnsi="Times New Roman" w:cs="Times New Roman"/>
          <w:lang w:val="en-GB"/>
        </w:rPr>
      </w:pPr>
      <w:r w:rsidRPr="007504E6">
        <w:rPr>
          <w:rFonts w:ascii="Times New Roman" w:hAnsi="Times New Roman" w:cs="Times New Roman"/>
          <w:lang w:val="en-GB"/>
        </w:rPr>
        <w:t>Fig</w:t>
      </w:r>
      <w:r w:rsidR="005F622A" w:rsidRPr="007504E6">
        <w:rPr>
          <w:rFonts w:ascii="Times New Roman" w:hAnsi="Times New Roman" w:cs="Times New Roman"/>
          <w:lang w:val="en-GB"/>
        </w:rPr>
        <w:t xml:space="preserve"> 1</w:t>
      </w:r>
      <w:r w:rsidR="00D64C5F" w:rsidRPr="007504E6">
        <w:rPr>
          <w:rFonts w:ascii="Times New Roman" w:hAnsi="Times New Roman" w:cs="Times New Roman"/>
          <w:lang w:val="en-GB"/>
        </w:rPr>
        <w:t xml:space="preserve">. </w:t>
      </w:r>
      <w:r w:rsidR="00AF2FDA" w:rsidRPr="007504E6">
        <w:rPr>
          <w:rFonts w:ascii="Times New Roman" w:hAnsi="Times New Roman" w:cs="Times New Roman"/>
          <w:lang w:val="en-GB"/>
        </w:rPr>
        <w:t>Scheme of data collection, data extrapolation, compilation of expert assessments and development of forecast variants</w:t>
      </w:r>
      <w:r w:rsidR="005F622A" w:rsidRPr="007504E6">
        <w:rPr>
          <w:rFonts w:ascii="Times New Roman" w:hAnsi="Times New Roman" w:cs="Times New Roman"/>
          <w:lang w:val="en-GB"/>
        </w:rPr>
        <w:t>.</w:t>
      </w:r>
    </w:p>
    <w:p w14:paraId="70925926" w14:textId="3025488A" w:rsidR="005273D0" w:rsidRPr="007504E6" w:rsidRDefault="005273D0" w:rsidP="005273D0">
      <w:pPr>
        <w:spacing w:line="240" w:lineRule="auto"/>
        <w:ind w:firstLine="0"/>
        <w:rPr>
          <w:rFonts w:ascii="Times New Roman" w:hAnsi="Times New Roman" w:cs="Times New Roman"/>
          <w:lang w:val="en-GB"/>
        </w:rPr>
      </w:pPr>
      <w:r w:rsidRPr="007504E6">
        <w:rPr>
          <w:rFonts w:ascii="Times New Roman" w:hAnsi="Times New Roman" w:cs="Times New Roman"/>
          <w:lang w:val="en-GB"/>
        </w:rPr>
        <w:t xml:space="preserve">Repeated studies require a re-aggregation of the available information to identify the amount of new information. In case new data that have not been collected so far are publicly available, it is possible to transfer forecasts of certain groups of objects and types of resources to another variant group. Equally, it is possible to calibrate the weighting coefficients of statistical forecasts and expert forecasts if new arguments have emerged in </w:t>
      </w:r>
      <w:r w:rsidR="006369E8" w:rsidRPr="007504E6">
        <w:rPr>
          <w:rFonts w:ascii="Times New Roman" w:hAnsi="Times New Roman" w:cs="Times New Roman"/>
          <w:lang w:val="en-GB"/>
        </w:rPr>
        <w:t>favour</w:t>
      </w:r>
      <w:r w:rsidRPr="007504E6">
        <w:rPr>
          <w:rFonts w:ascii="Times New Roman" w:hAnsi="Times New Roman" w:cs="Times New Roman"/>
          <w:lang w:val="en-GB"/>
        </w:rPr>
        <w:t xml:space="preserve"> of converting some weights.</w:t>
      </w:r>
    </w:p>
    <w:p w14:paraId="49F00748" w14:textId="77777777" w:rsidR="005273D0" w:rsidRPr="007504E6" w:rsidRDefault="005273D0" w:rsidP="005273D0">
      <w:pPr>
        <w:spacing w:line="240" w:lineRule="auto"/>
        <w:ind w:firstLine="0"/>
        <w:rPr>
          <w:rFonts w:ascii="Times New Roman" w:hAnsi="Times New Roman" w:cs="Times New Roman"/>
          <w:lang w:val="en-GB"/>
        </w:rPr>
      </w:pPr>
    </w:p>
    <w:p w14:paraId="00C3AD16" w14:textId="3972EA29" w:rsidR="00D64C5F" w:rsidRPr="007504E6" w:rsidRDefault="005273D0" w:rsidP="005273D0">
      <w:pPr>
        <w:spacing w:line="240" w:lineRule="auto"/>
        <w:ind w:firstLine="0"/>
        <w:rPr>
          <w:rFonts w:ascii="Times New Roman" w:hAnsi="Times New Roman" w:cs="Times New Roman"/>
          <w:lang w:val="en-GB"/>
        </w:rPr>
      </w:pPr>
      <w:r w:rsidRPr="007504E6">
        <w:rPr>
          <w:rFonts w:ascii="Times New Roman" w:hAnsi="Times New Roman" w:cs="Times New Roman"/>
          <w:lang w:val="en-GB"/>
        </w:rPr>
        <w:t>In the development of all three forecast variants, it is possible to extend the forecasting horizon for additional years if a certain period of time has changed, which requires the development of a forecast</w:t>
      </w:r>
      <w:r w:rsidR="00D64C5F" w:rsidRPr="007504E6">
        <w:rPr>
          <w:rFonts w:ascii="Times New Roman" w:hAnsi="Times New Roman" w:cs="Times New Roman"/>
          <w:lang w:val="en-GB"/>
        </w:rPr>
        <w:t xml:space="preserve">. </w:t>
      </w:r>
    </w:p>
    <w:p w14:paraId="6DD3E009" w14:textId="77777777" w:rsidR="00D64C5F" w:rsidRPr="007504E6" w:rsidRDefault="00D64C5F" w:rsidP="00D64C5F">
      <w:pPr>
        <w:spacing w:line="240" w:lineRule="auto"/>
        <w:rPr>
          <w:rFonts w:ascii="Times New Roman" w:hAnsi="Times New Roman" w:cs="Times New Roman"/>
          <w:lang w:val="en-GB"/>
        </w:rPr>
      </w:pPr>
    </w:p>
    <w:p w14:paraId="74469834" w14:textId="77777777" w:rsidR="00D64C5F" w:rsidRPr="007504E6" w:rsidRDefault="00D64C5F" w:rsidP="00D64C5F">
      <w:pPr>
        <w:spacing w:line="240" w:lineRule="auto"/>
        <w:rPr>
          <w:rFonts w:ascii="Times New Roman" w:hAnsi="Times New Roman" w:cs="Times New Roman"/>
          <w:lang w:val="en-GB"/>
        </w:rPr>
      </w:pPr>
    </w:p>
    <w:p w14:paraId="5349EDAA" w14:textId="1D03C14C" w:rsidR="00D64C5F" w:rsidRPr="007504E6" w:rsidRDefault="005273D0" w:rsidP="00966AFC">
      <w:pPr>
        <w:pStyle w:val="Virsraksts3"/>
        <w:spacing w:line="240" w:lineRule="auto"/>
        <w:ind w:left="1224" w:firstLine="0"/>
        <w:rPr>
          <w:rFonts w:ascii="Times New Roman" w:hAnsi="Times New Roman" w:cs="Times New Roman"/>
          <w:b/>
          <w:bCs/>
          <w:color w:val="262626" w:themeColor="text1" w:themeTint="D9"/>
          <w:lang w:val="en-GB"/>
        </w:rPr>
      </w:pPr>
      <w:r w:rsidRPr="007504E6">
        <w:rPr>
          <w:rFonts w:ascii="Times New Roman" w:hAnsi="Times New Roman" w:cs="Times New Roman"/>
          <w:b/>
          <w:bCs/>
          <w:color w:val="262626" w:themeColor="text1" w:themeTint="D9"/>
          <w:lang w:val="en-GB"/>
        </w:rPr>
        <w:t>Factor impact assessment</w:t>
      </w:r>
    </w:p>
    <w:p w14:paraId="0DA0FC92" w14:textId="77777777" w:rsidR="00BB3CB6" w:rsidRPr="007504E6" w:rsidRDefault="00BB3CB6" w:rsidP="00BB3CB6">
      <w:pPr>
        <w:spacing w:line="240" w:lineRule="auto"/>
        <w:ind w:firstLine="0"/>
        <w:rPr>
          <w:rFonts w:ascii="Times New Roman" w:hAnsi="Times New Roman" w:cs="Times New Roman"/>
          <w:lang w:val="en-GB"/>
        </w:rPr>
      </w:pPr>
    </w:p>
    <w:p w14:paraId="21948FB8" w14:textId="3107DCEF" w:rsidR="002C385B" w:rsidRPr="007504E6" w:rsidRDefault="002C385B" w:rsidP="002C385B">
      <w:pPr>
        <w:spacing w:line="240" w:lineRule="auto"/>
        <w:ind w:firstLine="0"/>
        <w:rPr>
          <w:rFonts w:ascii="Times New Roman" w:hAnsi="Times New Roman" w:cs="Times New Roman"/>
          <w:lang w:val="en-GB"/>
        </w:rPr>
      </w:pPr>
      <w:r w:rsidRPr="007504E6">
        <w:rPr>
          <w:rFonts w:ascii="Times New Roman" w:hAnsi="Times New Roman" w:cs="Times New Roman"/>
          <w:lang w:val="en-GB"/>
        </w:rPr>
        <w:t>Assessing the impact of various internal and external factors on changes in construction costs, the study uses expert assessments. With the help of expert opinion, the most important factors were identified and the degree of influence of the factors was determined.</w:t>
      </w:r>
    </w:p>
    <w:p w14:paraId="15B38DC0" w14:textId="77777777" w:rsidR="002C385B" w:rsidRPr="007504E6" w:rsidRDefault="002C385B" w:rsidP="002C385B">
      <w:pPr>
        <w:spacing w:line="240" w:lineRule="auto"/>
        <w:ind w:firstLine="0"/>
        <w:rPr>
          <w:rFonts w:ascii="Times New Roman" w:hAnsi="Times New Roman" w:cs="Times New Roman"/>
          <w:lang w:val="en-GB"/>
        </w:rPr>
      </w:pPr>
    </w:p>
    <w:p w14:paraId="34D6DAF8" w14:textId="3278A7CA" w:rsidR="00D64C5F" w:rsidRPr="007504E6" w:rsidRDefault="002C385B" w:rsidP="002C385B">
      <w:pPr>
        <w:spacing w:line="240" w:lineRule="auto"/>
        <w:ind w:firstLine="0"/>
        <w:rPr>
          <w:rFonts w:ascii="Times New Roman" w:hAnsi="Times New Roman" w:cs="Times New Roman"/>
          <w:lang w:val="en-GB"/>
        </w:rPr>
      </w:pPr>
      <w:r w:rsidRPr="007504E6">
        <w:rPr>
          <w:rFonts w:ascii="Times New Roman" w:hAnsi="Times New Roman" w:cs="Times New Roman"/>
          <w:lang w:val="en-GB"/>
        </w:rPr>
        <w:t xml:space="preserve">Within the framework of the expert examination, the list of internal and external factors influencing the studied indicators was handed over to the experts for evaluation. When assessing the impact of factors, they were ranked and evaluated on a score scale. The advantage of ranking within the research is the identification of the most important factors. Unlike normal valuation or the selection of key factors, ranking eliminates a number of potential </w:t>
      </w:r>
      <w:r w:rsidR="006369E8" w:rsidRPr="007504E6">
        <w:rPr>
          <w:rFonts w:ascii="Times New Roman" w:hAnsi="Times New Roman" w:cs="Times New Roman"/>
          <w:lang w:val="en-GB"/>
        </w:rPr>
        <w:t>problems</w:t>
      </w:r>
      <w:r w:rsidR="00D64C5F" w:rsidRPr="007504E6">
        <w:rPr>
          <w:rFonts w:ascii="Times New Roman" w:hAnsi="Times New Roman" w:cs="Times New Roman"/>
          <w:lang w:val="en-GB"/>
        </w:rPr>
        <w:t>:</w:t>
      </w:r>
    </w:p>
    <w:p w14:paraId="46F80457" w14:textId="77777777" w:rsidR="00BB3CB6" w:rsidRPr="007504E6" w:rsidRDefault="00BB3CB6" w:rsidP="00BB3CB6">
      <w:pPr>
        <w:spacing w:line="240" w:lineRule="auto"/>
        <w:ind w:firstLine="0"/>
        <w:rPr>
          <w:rFonts w:ascii="Times New Roman" w:hAnsi="Times New Roman" w:cs="Times New Roman"/>
          <w:lang w:val="en-GB"/>
        </w:rPr>
      </w:pPr>
    </w:p>
    <w:p w14:paraId="75DF5751" w14:textId="77777777" w:rsidR="00DC78B8" w:rsidRPr="007504E6" w:rsidRDefault="00DC78B8" w:rsidP="00DC78B8">
      <w:pPr>
        <w:pStyle w:val="Sarakstarindkopa"/>
        <w:numPr>
          <w:ilvl w:val="0"/>
          <w:numId w:val="22"/>
        </w:numPr>
        <w:spacing w:line="240" w:lineRule="auto"/>
        <w:rPr>
          <w:rFonts w:ascii="Times New Roman" w:hAnsi="Times New Roman" w:cs="Times New Roman"/>
          <w:lang w:val="en-GB"/>
        </w:rPr>
      </w:pPr>
      <w:r w:rsidRPr="007504E6">
        <w:rPr>
          <w:rFonts w:ascii="Times New Roman" w:hAnsi="Times New Roman" w:cs="Times New Roman"/>
          <w:lang w:val="en-GB"/>
        </w:rPr>
        <w:t>Ranking ruled out a situation where certain factors are not assessed;</w:t>
      </w:r>
    </w:p>
    <w:p w14:paraId="29DB6A39" w14:textId="1425B87D" w:rsidR="00D64C5F" w:rsidRPr="007504E6" w:rsidRDefault="00DC78B8" w:rsidP="00DC78B8">
      <w:pPr>
        <w:pStyle w:val="Sarakstarindkopa"/>
        <w:numPr>
          <w:ilvl w:val="0"/>
          <w:numId w:val="22"/>
        </w:numPr>
        <w:spacing w:line="240" w:lineRule="auto"/>
        <w:rPr>
          <w:rFonts w:ascii="Times New Roman" w:hAnsi="Times New Roman" w:cs="Times New Roman"/>
          <w:lang w:val="en-GB"/>
        </w:rPr>
      </w:pPr>
      <w:r w:rsidRPr="007504E6">
        <w:rPr>
          <w:rFonts w:ascii="Times New Roman" w:hAnsi="Times New Roman" w:cs="Times New Roman"/>
          <w:lang w:val="en-GB"/>
        </w:rPr>
        <w:t>Ranks in the study allowed to evaluate the sequence of factor effects, without allowing several factors to be evaluated with equal force</w:t>
      </w:r>
      <w:r w:rsidR="00D64C5F" w:rsidRPr="007504E6">
        <w:rPr>
          <w:rFonts w:ascii="Times New Roman" w:hAnsi="Times New Roman" w:cs="Times New Roman"/>
          <w:lang w:val="en-GB"/>
        </w:rPr>
        <w:t>.</w:t>
      </w:r>
    </w:p>
    <w:p w14:paraId="283FEEF7" w14:textId="77777777" w:rsidR="00BB3CB6" w:rsidRPr="007504E6" w:rsidRDefault="00BB3CB6" w:rsidP="00BB3CB6">
      <w:pPr>
        <w:spacing w:line="240" w:lineRule="auto"/>
        <w:ind w:firstLine="0"/>
        <w:rPr>
          <w:rFonts w:ascii="Times New Roman" w:hAnsi="Times New Roman" w:cs="Times New Roman"/>
          <w:lang w:val="en-GB"/>
        </w:rPr>
      </w:pPr>
    </w:p>
    <w:p w14:paraId="6A33988A" w14:textId="2B769493" w:rsidR="00930278" w:rsidRPr="007504E6" w:rsidRDefault="00930278" w:rsidP="00930278">
      <w:pPr>
        <w:spacing w:line="240" w:lineRule="auto"/>
        <w:ind w:firstLine="0"/>
        <w:rPr>
          <w:rFonts w:ascii="Times New Roman" w:hAnsi="Times New Roman" w:cs="Times New Roman"/>
          <w:lang w:val="en-GB"/>
        </w:rPr>
      </w:pPr>
      <w:r w:rsidRPr="007504E6">
        <w:rPr>
          <w:rFonts w:ascii="Times New Roman" w:hAnsi="Times New Roman" w:cs="Times New Roman"/>
          <w:lang w:val="en-GB"/>
        </w:rPr>
        <w:t xml:space="preserve">After the identification of the most significant factors in the initial phase, the statistical processing of the obtained results was </w:t>
      </w:r>
      <w:r w:rsidR="006369E8" w:rsidRPr="007504E6">
        <w:rPr>
          <w:rFonts w:ascii="Times New Roman" w:hAnsi="Times New Roman" w:cs="Times New Roman"/>
          <w:lang w:val="en-GB"/>
        </w:rPr>
        <w:t>performed,</w:t>
      </w:r>
      <w:r w:rsidRPr="007504E6">
        <w:rPr>
          <w:rFonts w:ascii="Times New Roman" w:hAnsi="Times New Roman" w:cs="Times New Roman"/>
          <w:lang w:val="en-GB"/>
        </w:rPr>
        <w:t xml:space="preserve"> and the factor weights or significance were calculated. Based on the obtained indicator, the most important factors were selected, which were used in the next phase. In the second phase, the most important factors selected were evaluated on a score scale. In this case, the task was to determine the degree of influence of the factors.</w:t>
      </w:r>
    </w:p>
    <w:p w14:paraId="2F058871" w14:textId="77777777" w:rsidR="00930278" w:rsidRPr="007504E6" w:rsidRDefault="00930278" w:rsidP="00930278">
      <w:pPr>
        <w:spacing w:line="240" w:lineRule="auto"/>
        <w:ind w:firstLine="0"/>
        <w:rPr>
          <w:rFonts w:ascii="Times New Roman" w:hAnsi="Times New Roman" w:cs="Times New Roman"/>
          <w:lang w:val="en-GB"/>
        </w:rPr>
      </w:pPr>
    </w:p>
    <w:p w14:paraId="586FE549" w14:textId="02502DBF" w:rsidR="00930278" w:rsidRPr="007504E6" w:rsidRDefault="00930278" w:rsidP="00930278">
      <w:pPr>
        <w:spacing w:line="240" w:lineRule="auto"/>
        <w:ind w:firstLine="0"/>
        <w:rPr>
          <w:rFonts w:ascii="Times New Roman" w:hAnsi="Times New Roman" w:cs="Times New Roman"/>
          <w:lang w:val="en-GB"/>
        </w:rPr>
      </w:pPr>
      <w:r w:rsidRPr="007504E6">
        <w:rPr>
          <w:rFonts w:ascii="Times New Roman" w:hAnsi="Times New Roman" w:cs="Times New Roman"/>
          <w:lang w:val="en-GB"/>
        </w:rPr>
        <w:t>Factors were identified that significantly affected the changes in construction costs during the examination phase. From these factors, those that were quantifiable and for which dynamics series are available with the nature of the changes in the period corresponding to the period of changes in construction costs were selected. Where such information was available, the correlations of all selected factors with the corresponding changes in construction costs were assessed.</w:t>
      </w:r>
    </w:p>
    <w:p w14:paraId="58F7B1EE" w14:textId="77777777" w:rsidR="00930278" w:rsidRPr="007504E6" w:rsidRDefault="00930278" w:rsidP="00930278">
      <w:pPr>
        <w:spacing w:line="240" w:lineRule="auto"/>
        <w:ind w:firstLine="0"/>
        <w:rPr>
          <w:rFonts w:ascii="Times New Roman" w:hAnsi="Times New Roman" w:cs="Times New Roman"/>
          <w:lang w:val="en-GB"/>
        </w:rPr>
      </w:pPr>
    </w:p>
    <w:p w14:paraId="5772C0A1" w14:textId="57BC04B9" w:rsidR="00D64C5F" w:rsidRPr="007504E6" w:rsidRDefault="00930278" w:rsidP="00930278">
      <w:pPr>
        <w:spacing w:line="240" w:lineRule="auto"/>
        <w:ind w:firstLine="0"/>
        <w:rPr>
          <w:rFonts w:ascii="Times New Roman" w:hAnsi="Times New Roman" w:cs="Times New Roman"/>
          <w:lang w:val="en-GB"/>
        </w:rPr>
      </w:pPr>
      <w:r w:rsidRPr="007504E6">
        <w:rPr>
          <w:rFonts w:ascii="Times New Roman" w:hAnsi="Times New Roman" w:cs="Times New Roman"/>
          <w:lang w:val="en-GB"/>
        </w:rPr>
        <w:t>Approbation of influencing factors is required within the research. The examination determined which factors experts consider to be significant factors influencing changes in construction costs. After the approbation of the factors in the examination, it is possible to supplement the methodology by including those factors that have been recognized as the most important</w:t>
      </w:r>
      <w:r w:rsidR="00D64C5F" w:rsidRPr="007504E6">
        <w:rPr>
          <w:rFonts w:ascii="Times New Roman" w:hAnsi="Times New Roman" w:cs="Times New Roman"/>
          <w:lang w:val="en-GB"/>
        </w:rPr>
        <w:t>.</w:t>
      </w:r>
    </w:p>
    <w:p w14:paraId="6854D021" w14:textId="77777777" w:rsidR="00D64C5F" w:rsidRPr="007504E6" w:rsidRDefault="00D64C5F" w:rsidP="00D64C5F">
      <w:pPr>
        <w:spacing w:after="160" w:line="240" w:lineRule="auto"/>
        <w:ind w:firstLine="0"/>
        <w:jc w:val="left"/>
        <w:rPr>
          <w:rFonts w:ascii="Times New Roman" w:hAnsi="Times New Roman" w:cs="Times New Roman"/>
          <w:lang w:val="en-GB"/>
        </w:rPr>
      </w:pPr>
    </w:p>
    <w:p w14:paraId="6E4DC606" w14:textId="77777777" w:rsidR="00D64C5F" w:rsidRPr="007504E6" w:rsidRDefault="00D64C5F" w:rsidP="00D64C5F">
      <w:pPr>
        <w:rPr>
          <w:rFonts w:ascii="Times New Roman" w:hAnsi="Times New Roman" w:cs="Times New Roman"/>
          <w:lang w:val="en-GB"/>
        </w:rPr>
      </w:pPr>
    </w:p>
    <w:p w14:paraId="56AEC33C" w14:textId="32130B6E" w:rsidR="00BB37C1" w:rsidRPr="007504E6" w:rsidRDefault="00F2171F" w:rsidP="00BB37C1">
      <w:pPr>
        <w:pStyle w:val="Virsraksts1"/>
        <w:tabs>
          <w:tab w:val="left" w:pos="7855"/>
        </w:tabs>
        <w:rPr>
          <w:rFonts w:ascii="Times New Roman" w:hAnsi="Times New Roman" w:cs="Times New Roman"/>
          <w:b/>
          <w:bCs/>
          <w:color w:val="0D0D0D" w:themeColor="text1" w:themeTint="F2"/>
          <w:lang w:val="en-GB"/>
        </w:rPr>
      </w:pPr>
      <w:bookmarkStart w:id="22" w:name="_Toc77714125"/>
      <w:r w:rsidRPr="007504E6">
        <w:rPr>
          <w:rFonts w:ascii="Times New Roman" w:hAnsi="Times New Roman" w:cs="Times New Roman"/>
          <w:b/>
          <w:bCs/>
          <w:color w:val="0D0D0D" w:themeColor="text1" w:themeTint="F2"/>
          <w:lang w:val="en-GB"/>
        </w:rPr>
        <w:t>CONCLUSIONS</w:t>
      </w:r>
      <w:bookmarkEnd w:id="22"/>
    </w:p>
    <w:p w14:paraId="0984B41C" w14:textId="77777777" w:rsidR="00BB37C1" w:rsidRPr="007504E6" w:rsidRDefault="00BB37C1" w:rsidP="00BB37C1">
      <w:pPr>
        <w:spacing w:line="240" w:lineRule="auto"/>
        <w:ind w:firstLine="0"/>
        <w:rPr>
          <w:rFonts w:ascii="Times New Roman" w:hAnsi="Times New Roman" w:cs="Times New Roman"/>
          <w:lang w:val="en-GB"/>
        </w:rPr>
      </w:pPr>
    </w:p>
    <w:p w14:paraId="42FE4B72" w14:textId="085D6C30" w:rsidR="00BB37C1" w:rsidRPr="007504E6" w:rsidRDefault="00BB37C1" w:rsidP="00BB37C1">
      <w:pPr>
        <w:spacing w:line="240" w:lineRule="auto"/>
        <w:ind w:firstLine="0"/>
        <w:rPr>
          <w:rFonts w:ascii="Times New Roman" w:hAnsi="Times New Roman" w:cs="Times New Roman"/>
          <w:b/>
          <w:bCs/>
          <w:lang w:val="en-GB"/>
        </w:rPr>
      </w:pPr>
      <w:r w:rsidRPr="007504E6">
        <w:rPr>
          <w:rFonts w:ascii="Times New Roman" w:hAnsi="Times New Roman" w:cs="Times New Roman"/>
          <w:b/>
          <w:bCs/>
          <w:noProof/>
          <w:lang w:val="en-GB"/>
        </w:rPr>
        <w:drawing>
          <wp:anchor distT="0" distB="0" distL="114300" distR="114300" simplePos="0" relativeHeight="251765760" behindDoc="0" locked="0" layoutInCell="1" allowOverlap="1" wp14:anchorId="282EA796" wp14:editId="20DFEDBA">
            <wp:simplePos x="0" y="0"/>
            <wp:positionH relativeFrom="margin">
              <wp:posOffset>2228850</wp:posOffset>
            </wp:positionH>
            <wp:positionV relativeFrom="paragraph">
              <wp:posOffset>92075</wp:posOffset>
            </wp:positionV>
            <wp:extent cx="2692400" cy="328295"/>
            <wp:effectExtent l="0" t="0" r="0" b="0"/>
            <wp:wrapNone/>
            <wp:docPr id="202" name="Graphic 202" descr="A brush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A brushstroke"/>
                    <pic:cNvPicPr/>
                  </pic:nvPicPr>
                  <pic:blipFill rotWithShape="1">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rcRect t="39070" b="41624"/>
                    <a:stretch/>
                  </pic:blipFill>
                  <pic:spPr bwMode="auto">
                    <a:xfrm>
                      <a:off x="0" y="0"/>
                      <a:ext cx="2692400" cy="328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171F" w:rsidRPr="007504E6">
        <w:rPr>
          <w:lang w:val="en-GB"/>
        </w:rPr>
        <w:t xml:space="preserve"> </w:t>
      </w:r>
      <w:r w:rsidR="00F2171F" w:rsidRPr="007504E6">
        <w:rPr>
          <w:rFonts w:ascii="Times New Roman" w:hAnsi="Times New Roman" w:cs="Times New Roman"/>
          <w:b/>
          <w:bCs/>
          <w:lang w:val="en-GB"/>
        </w:rPr>
        <w:t>MAJOR FACTORS AFFECTING CONSTRUCTION COSTS</w:t>
      </w:r>
    </w:p>
    <w:p w14:paraId="30A133E0" w14:textId="77777777" w:rsidR="00BB37C1" w:rsidRPr="007504E6" w:rsidRDefault="00BB37C1" w:rsidP="00BB37C1">
      <w:pPr>
        <w:spacing w:line="240" w:lineRule="auto"/>
        <w:ind w:firstLine="0"/>
        <w:rPr>
          <w:rFonts w:ascii="Times New Roman" w:hAnsi="Times New Roman" w:cs="Times New Roman"/>
          <w:lang w:val="en-GB"/>
        </w:rPr>
      </w:pPr>
    </w:p>
    <w:p w14:paraId="334FDB96" w14:textId="77777777" w:rsidR="00BB37C1" w:rsidRPr="007504E6" w:rsidRDefault="00BB37C1" w:rsidP="00BB37C1">
      <w:pPr>
        <w:spacing w:line="240" w:lineRule="auto"/>
        <w:ind w:firstLine="0"/>
        <w:rPr>
          <w:rFonts w:ascii="Times New Roman" w:hAnsi="Times New Roman" w:cs="Times New Roman"/>
          <w:lang w:val="en-GB"/>
        </w:rPr>
      </w:pPr>
    </w:p>
    <w:p w14:paraId="19A7E0B6" w14:textId="68C3F7EB" w:rsidR="00BB37C1" w:rsidRPr="007504E6" w:rsidRDefault="00C90860" w:rsidP="00BB37C1">
      <w:pPr>
        <w:spacing w:line="240" w:lineRule="auto"/>
        <w:ind w:firstLine="0"/>
        <w:rPr>
          <w:rFonts w:ascii="Times New Roman" w:hAnsi="Times New Roman" w:cs="Times New Roman"/>
          <w:lang w:val="en-GB"/>
        </w:rPr>
      </w:pPr>
      <w:bookmarkStart w:id="23" w:name="_Hlk77081816"/>
      <w:r w:rsidRPr="007504E6">
        <w:rPr>
          <w:rFonts w:ascii="Times New Roman" w:hAnsi="Times New Roman" w:cs="Times New Roman"/>
          <w:lang w:val="en-GB"/>
        </w:rPr>
        <w:t xml:space="preserve">The study obtained estimates of the degree of impact of various factors on the </w:t>
      </w:r>
      <w:proofErr w:type="spellStart"/>
      <w:r w:rsidRPr="007504E6">
        <w:rPr>
          <w:rFonts w:ascii="Times New Roman" w:hAnsi="Times New Roman" w:cs="Times New Roman"/>
          <w:lang w:val="en-GB"/>
        </w:rPr>
        <w:t>labor</w:t>
      </w:r>
      <w:proofErr w:type="spellEnd"/>
      <w:r w:rsidRPr="007504E6">
        <w:rPr>
          <w:rFonts w:ascii="Times New Roman" w:hAnsi="Times New Roman" w:cs="Times New Roman"/>
          <w:lang w:val="en-GB"/>
        </w:rPr>
        <w:t xml:space="preserve"> and construction material costs of the construction industry and drew the most important conclusions.</w:t>
      </w:r>
      <w:r w:rsidR="00BB37C1" w:rsidRPr="007504E6">
        <w:rPr>
          <w:rFonts w:ascii="Times New Roman" w:hAnsi="Times New Roman" w:cs="Times New Roman"/>
          <w:lang w:val="en-GB"/>
        </w:rPr>
        <w:t>:</w:t>
      </w:r>
    </w:p>
    <w:p w14:paraId="58646A13" w14:textId="77777777" w:rsidR="00BB37C1" w:rsidRPr="007504E6" w:rsidRDefault="00BB37C1" w:rsidP="00BB37C1">
      <w:pPr>
        <w:spacing w:line="240" w:lineRule="auto"/>
        <w:rPr>
          <w:rFonts w:ascii="Times New Roman" w:hAnsi="Times New Roman" w:cs="Times New Roman"/>
          <w:lang w:val="en-GB"/>
        </w:rPr>
      </w:pPr>
    </w:p>
    <w:p w14:paraId="796265A6" w14:textId="25175BCE" w:rsidR="00FE23EB" w:rsidRPr="007504E6" w:rsidRDefault="00FE23EB" w:rsidP="00FE23EB">
      <w:pPr>
        <w:pStyle w:val="Sarakstarindkopa"/>
        <w:numPr>
          <w:ilvl w:val="0"/>
          <w:numId w:val="25"/>
        </w:numPr>
        <w:spacing w:line="240" w:lineRule="auto"/>
        <w:rPr>
          <w:rFonts w:ascii="Times New Roman" w:hAnsi="Times New Roman" w:cs="Times New Roman"/>
          <w:lang w:val="en-GB"/>
        </w:rPr>
      </w:pPr>
      <w:proofErr w:type="spellStart"/>
      <w:r w:rsidRPr="007504E6">
        <w:rPr>
          <w:rFonts w:ascii="Times New Roman" w:hAnsi="Times New Roman" w:cs="Times New Roman"/>
          <w:lang w:val="en-GB"/>
        </w:rPr>
        <w:t>Labor</w:t>
      </w:r>
      <w:proofErr w:type="spellEnd"/>
      <w:r w:rsidRPr="007504E6">
        <w:rPr>
          <w:rFonts w:ascii="Times New Roman" w:hAnsi="Times New Roman" w:cs="Times New Roman"/>
          <w:lang w:val="en-GB"/>
        </w:rPr>
        <w:t xml:space="preserve"> wages in the construction sector are most significantly affected by the volume of construction in Latvia, as well as the level of </w:t>
      </w:r>
      <w:proofErr w:type="spellStart"/>
      <w:r w:rsidRPr="007504E6">
        <w:rPr>
          <w:rFonts w:ascii="Times New Roman" w:hAnsi="Times New Roman" w:cs="Times New Roman"/>
          <w:lang w:val="en-GB"/>
        </w:rPr>
        <w:t>labor</w:t>
      </w:r>
      <w:proofErr w:type="spellEnd"/>
      <w:r w:rsidRPr="007504E6">
        <w:rPr>
          <w:rFonts w:ascii="Times New Roman" w:hAnsi="Times New Roman" w:cs="Times New Roman"/>
          <w:lang w:val="en-GB"/>
        </w:rPr>
        <w:t xml:space="preserve"> wages and the demand of the construction sector in other EU countries.</w:t>
      </w:r>
    </w:p>
    <w:p w14:paraId="4EE283B8" w14:textId="51CA7961" w:rsidR="00FE23EB" w:rsidRPr="007504E6" w:rsidRDefault="00FE23EB" w:rsidP="00FE23EB">
      <w:pPr>
        <w:pStyle w:val="Sarakstarindkopa"/>
        <w:spacing w:line="240" w:lineRule="auto"/>
        <w:ind w:left="360" w:firstLine="0"/>
        <w:rPr>
          <w:rFonts w:ascii="Times New Roman" w:hAnsi="Times New Roman" w:cs="Times New Roman"/>
          <w:lang w:val="en-GB"/>
        </w:rPr>
      </w:pPr>
    </w:p>
    <w:p w14:paraId="62E411C4" w14:textId="1D862EEC" w:rsidR="00FE23EB" w:rsidRPr="007504E6" w:rsidRDefault="00FE23EB" w:rsidP="00FE23EB">
      <w:pPr>
        <w:pStyle w:val="Sarakstarindkopa"/>
        <w:numPr>
          <w:ilvl w:val="0"/>
          <w:numId w:val="25"/>
        </w:numPr>
        <w:spacing w:line="240" w:lineRule="auto"/>
        <w:rPr>
          <w:rFonts w:ascii="Times New Roman" w:hAnsi="Times New Roman" w:cs="Times New Roman"/>
          <w:lang w:val="en-GB"/>
        </w:rPr>
      </w:pPr>
      <w:r w:rsidRPr="007504E6">
        <w:rPr>
          <w:rFonts w:ascii="Times New Roman" w:hAnsi="Times New Roman" w:cs="Times New Roman"/>
          <w:lang w:val="en-GB"/>
        </w:rPr>
        <w:t xml:space="preserve">The costs of construction materials are most significantly affected by the prices of metal and timber, as well as the total volume of </w:t>
      </w:r>
      <w:r w:rsidR="006369E8" w:rsidRPr="007504E6">
        <w:rPr>
          <w:rFonts w:ascii="Times New Roman" w:hAnsi="Times New Roman" w:cs="Times New Roman"/>
          <w:lang w:val="en-GB"/>
        </w:rPr>
        <w:t>construction.</w:t>
      </w:r>
    </w:p>
    <w:p w14:paraId="628A89EE" w14:textId="5F9F5F58" w:rsidR="00FE23EB" w:rsidRPr="007504E6" w:rsidRDefault="00FE23EB" w:rsidP="00FE23EB">
      <w:pPr>
        <w:pStyle w:val="Sarakstarindkopa"/>
        <w:spacing w:line="240" w:lineRule="auto"/>
        <w:ind w:left="360" w:firstLine="0"/>
        <w:rPr>
          <w:rFonts w:ascii="Times New Roman" w:hAnsi="Times New Roman" w:cs="Times New Roman"/>
          <w:lang w:val="en-GB"/>
        </w:rPr>
      </w:pPr>
    </w:p>
    <w:p w14:paraId="77DA67B8" w14:textId="5B3E9E2F" w:rsidR="00FE23EB" w:rsidRPr="007504E6" w:rsidRDefault="00FE23EB" w:rsidP="00FE23EB">
      <w:pPr>
        <w:pStyle w:val="Sarakstarindkopa"/>
        <w:numPr>
          <w:ilvl w:val="0"/>
          <w:numId w:val="25"/>
        </w:numPr>
        <w:spacing w:line="240" w:lineRule="auto"/>
        <w:rPr>
          <w:rFonts w:ascii="Times New Roman" w:hAnsi="Times New Roman" w:cs="Times New Roman"/>
          <w:lang w:val="en-GB"/>
        </w:rPr>
      </w:pPr>
      <w:r w:rsidRPr="007504E6">
        <w:rPr>
          <w:rFonts w:ascii="Times New Roman" w:hAnsi="Times New Roman" w:cs="Times New Roman"/>
          <w:lang w:val="en-GB"/>
        </w:rPr>
        <w:t>The sub-sector of urban infrastructure construction has the smallest impact on timber prices, but has a high impact on the overall growth rate of the EU economy.</w:t>
      </w:r>
    </w:p>
    <w:p w14:paraId="10C9EC24" w14:textId="00199C66" w:rsidR="00FE23EB" w:rsidRPr="007504E6" w:rsidRDefault="00FE23EB" w:rsidP="00FE23EB">
      <w:pPr>
        <w:pStyle w:val="Sarakstarindkopa"/>
        <w:spacing w:line="240" w:lineRule="auto"/>
        <w:ind w:left="360" w:firstLine="0"/>
        <w:rPr>
          <w:rFonts w:ascii="Times New Roman" w:hAnsi="Times New Roman" w:cs="Times New Roman"/>
          <w:lang w:val="en-GB"/>
        </w:rPr>
      </w:pPr>
    </w:p>
    <w:p w14:paraId="2D74E2F1" w14:textId="238C430C" w:rsidR="00FE23EB" w:rsidRPr="007504E6" w:rsidRDefault="00FE23EB" w:rsidP="00FE23EB">
      <w:pPr>
        <w:pStyle w:val="Sarakstarindkopa"/>
        <w:numPr>
          <w:ilvl w:val="0"/>
          <w:numId w:val="25"/>
        </w:numPr>
        <w:spacing w:line="240" w:lineRule="auto"/>
        <w:rPr>
          <w:rFonts w:ascii="Times New Roman" w:hAnsi="Times New Roman" w:cs="Times New Roman"/>
          <w:lang w:val="en-GB"/>
        </w:rPr>
      </w:pPr>
      <w:r w:rsidRPr="007504E6">
        <w:rPr>
          <w:rFonts w:ascii="Times New Roman" w:hAnsi="Times New Roman" w:cs="Times New Roman"/>
          <w:lang w:val="en-GB"/>
        </w:rPr>
        <w:t xml:space="preserve">In the sub-sector of construction of transport facilities, </w:t>
      </w:r>
      <w:proofErr w:type="spellStart"/>
      <w:r w:rsidRPr="007504E6">
        <w:rPr>
          <w:rFonts w:ascii="Times New Roman" w:hAnsi="Times New Roman" w:cs="Times New Roman"/>
          <w:lang w:val="en-GB"/>
        </w:rPr>
        <w:t>labor</w:t>
      </w:r>
      <w:proofErr w:type="spellEnd"/>
      <w:r w:rsidRPr="007504E6">
        <w:rPr>
          <w:rFonts w:ascii="Times New Roman" w:hAnsi="Times New Roman" w:cs="Times New Roman"/>
          <w:lang w:val="en-GB"/>
        </w:rPr>
        <w:t xml:space="preserve"> costs are most significantly influenced by the number of learners in Latvia.</w:t>
      </w:r>
    </w:p>
    <w:p w14:paraId="7833046D" w14:textId="719197F8" w:rsidR="00FE23EB" w:rsidRPr="007504E6" w:rsidRDefault="00FE23EB" w:rsidP="00FE23EB">
      <w:pPr>
        <w:pStyle w:val="Sarakstarindkopa"/>
        <w:spacing w:line="240" w:lineRule="auto"/>
        <w:ind w:left="360" w:firstLine="0"/>
        <w:rPr>
          <w:rFonts w:ascii="Times New Roman" w:hAnsi="Times New Roman" w:cs="Times New Roman"/>
          <w:lang w:val="en-GB"/>
        </w:rPr>
      </w:pPr>
    </w:p>
    <w:p w14:paraId="583DB15F" w14:textId="56F4D795" w:rsidR="00FE23EB" w:rsidRPr="007504E6" w:rsidRDefault="00FE23EB" w:rsidP="00FE23EB">
      <w:pPr>
        <w:pStyle w:val="Sarakstarindkopa"/>
        <w:numPr>
          <w:ilvl w:val="0"/>
          <w:numId w:val="25"/>
        </w:numPr>
        <w:spacing w:line="240" w:lineRule="auto"/>
        <w:rPr>
          <w:rFonts w:ascii="Times New Roman" w:hAnsi="Times New Roman" w:cs="Times New Roman"/>
          <w:lang w:val="en-GB"/>
        </w:rPr>
      </w:pPr>
      <w:r w:rsidRPr="007504E6">
        <w:rPr>
          <w:rFonts w:ascii="Times New Roman" w:hAnsi="Times New Roman" w:cs="Times New Roman"/>
          <w:lang w:val="en-GB"/>
        </w:rPr>
        <w:t>The digitization of construction processes has the most significant impact on architectural and engineering services, technical testing and analysis.</w:t>
      </w:r>
    </w:p>
    <w:p w14:paraId="20BC0C7D" w14:textId="797FF7A8" w:rsidR="00BB37C1" w:rsidRPr="007504E6" w:rsidRDefault="00BB37C1" w:rsidP="00FE23EB">
      <w:pPr>
        <w:pStyle w:val="Sarakstarindkopa"/>
        <w:spacing w:line="240" w:lineRule="auto"/>
        <w:ind w:left="360" w:firstLine="0"/>
        <w:rPr>
          <w:rFonts w:ascii="Times New Roman" w:hAnsi="Times New Roman" w:cs="Times New Roman"/>
          <w:lang w:val="en-GB"/>
        </w:rPr>
      </w:pPr>
    </w:p>
    <w:p w14:paraId="1D21701F" w14:textId="77777777" w:rsidR="00BB37C1" w:rsidRPr="007504E6" w:rsidRDefault="00BB37C1" w:rsidP="00BB37C1">
      <w:pPr>
        <w:spacing w:line="240" w:lineRule="auto"/>
        <w:ind w:firstLine="0"/>
        <w:rPr>
          <w:rFonts w:ascii="Times New Roman" w:hAnsi="Times New Roman" w:cs="Times New Roman"/>
          <w:lang w:val="en-GB"/>
        </w:rPr>
      </w:pPr>
    </w:p>
    <w:p w14:paraId="26D71554" w14:textId="77777777" w:rsidR="00BB37C1" w:rsidRPr="007504E6" w:rsidRDefault="00BB37C1" w:rsidP="00BB37C1">
      <w:pPr>
        <w:spacing w:line="240" w:lineRule="auto"/>
        <w:ind w:firstLine="0"/>
        <w:rPr>
          <w:rFonts w:ascii="Times New Roman" w:hAnsi="Times New Roman" w:cs="Times New Roman"/>
          <w:b/>
          <w:bCs/>
          <w:lang w:val="en-GB"/>
        </w:rPr>
      </w:pPr>
      <w:r w:rsidRPr="007504E6">
        <w:rPr>
          <w:rFonts w:ascii="Times New Roman" w:hAnsi="Times New Roman" w:cs="Times New Roman"/>
          <w:b/>
          <w:bCs/>
          <w:noProof/>
          <w:lang w:val="en-GB"/>
        </w:rPr>
        <w:drawing>
          <wp:anchor distT="0" distB="0" distL="114300" distR="114300" simplePos="0" relativeHeight="251764736" behindDoc="0" locked="0" layoutInCell="1" allowOverlap="1" wp14:anchorId="49AFAFF1" wp14:editId="73FD934E">
            <wp:simplePos x="0" y="0"/>
            <wp:positionH relativeFrom="margin">
              <wp:posOffset>-495300</wp:posOffset>
            </wp:positionH>
            <wp:positionV relativeFrom="paragraph">
              <wp:posOffset>236855</wp:posOffset>
            </wp:positionV>
            <wp:extent cx="2819400" cy="328295"/>
            <wp:effectExtent l="0" t="0" r="0" b="0"/>
            <wp:wrapNone/>
            <wp:docPr id="201" name="Graphic 201" descr="A brush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A brushstroke"/>
                    <pic:cNvPicPr/>
                  </pic:nvPicPr>
                  <pic:blipFill rotWithShape="1">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rcRect t="39070" b="41624"/>
                    <a:stretch/>
                  </pic:blipFill>
                  <pic:spPr bwMode="auto">
                    <a:xfrm>
                      <a:off x="0" y="0"/>
                      <a:ext cx="2819400" cy="328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59F69B" w14:textId="7D85F5E0" w:rsidR="00BB37C1" w:rsidRPr="007504E6" w:rsidRDefault="008B0A00" w:rsidP="00BB37C1">
      <w:pPr>
        <w:spacing w:line="240" w:lineRule="auto"/>
        <w:ind w:firstLine="0"/>
        <w:rPr>
          <w:rFonts w:ascii="Times New Roman" w:hAnsi="Times New Roman" w:cs="Times New Roman"/>
          <w:b/>
          <w:bCs/>
          <w:lang w:val="en-GB"/>
        </w:rPr>
      </w:pPr>
      <w:r w:rsidRPr="007504E6">
        <w:rPr>
          <w:rFonts w:ascii="Times New Roman" w:hAnsi="Times New Roman" w:cs="Times New Roman"/>
          <w:b/>
          <w:bCs/>
          <w:lang w:val="en-GB"/>
        </w:rPr>
        <w:t>FORECAST</w:t>
      </w:r>
      <w:r w:rsidR="00D65EB6">
        <w:rPr>
          <w:rFonts w:ascii="Times New Roman" w:hAnsi="Times New Roman" w:cs="Times New Roman"/>
          <w:b/>
          <w:bCs/>
          <w:lang w:val="en-GB"/>
        </w:rPr>
        <w:t xml:space="preserve">ED </w:t>
      </w:r>
      <w:r w:rsidRPr="007504E6">
        <w:rPr>
          <w:rFonts w:ascii="Times New Roman" w:hAnsi="Times New Roman" w:cs="Times New Roman"/>
          <w:b/>
          <w:bCs/>
          <w:lang w:val="en-GB"/>
        </w:rPr>
        <w:t>CHANGES</w:t>
      </w:r>
    </w:p>
    <w:p w14:paraId="2A566FE7" w14:textId="77777777" w:rsidR="00BB37C1" w:rsidRPr="007504E6" w:rsidRDefault="00BB37C1" w:rsidP="00BB37C1">
      <w:pPr>
        <w:spacing w:line="240" w:lineRule="auto"/>
        <w:ind w:firstLine="0"/>
        <w:rPr>
          <w:rFonts w:ascii="Times New Roman" w:hAnsi="Times New Roman" w:cs="Times New Roman"/>
          <w:lang w:val="en-GB"/>
        </w:rPr>
      </w:pPr>
    </w:p>
    <w:p w14:paraId="510FB15B" w14:textId="77777777" w:rsidR="00BB37C1" w:rsidRPr="007504E6" w:rsidRDefault="00BB37C1" w:rsidP="00BB37C1">
      <w:pPr>
        <w:spacing w:line="240" w:lineRule="auto"/>
        <w:ind w:firstLine="0"/>
        <w:rPr>
          <w:rFonts w:ascii="Times New Roman" w:hAnsi="Times New Roman" w:cs="Times New Roman"/>
          <w:lang w:val="en-GB"/>
        </w:rPr>
      </w:pPr>
    </w:p>
    <w:p w14:paraId="6213D1FD" w14:textId="1F1CB1A7" w:rsidR="00BB37C1" w:rsidRPr="007504E6" w:rsidRDefault="008B0A00" w:rsidP="00BB37C1">
      <w:pPr>
        <w:spacing w:line="240" w:lineRule="auto"/>
        <w:ind w:firstLine="0"/>
        <w:rPr>
          <w:rFonts w:ascii="Times New Roman" w:hAnsi="Times New Roman" w:cs="Times New Roman"/>
          <w:lang w:val="en-GB"/>
        </w:rPr>
      </w:pPr>
      <w:r w:rsidRPr="007504E6">
        <w:rPr>
          <w:rFonts w:ascii="Times New Roman" w:hAnsi="Times New Roman" w:cs="Times New Roman"/>
          <w:lang w:val="en-GB"/>
        </w:rPr>
        <w:t>The central object of the study was the forecasts of changes in the volume of construction output and changes in construction costs for 2021 and 2022 and the assessment for the period from 2023 to 2025</w:t>
      </w:r>
      <w:r w:rsidR="00BB37C1" w:rsidRPr="007504E6">
        <w:rPr>
          <w:rFonts w:ascii="Times New Roman" w:hAnsi="Times New Roman" w:cs="Times New Roman"/>
          <w:lang w:val="en-GB"/>
        </w:rPr>
        <w:t xml:space="preserve">. </w:t>
      </w:r>
    </w:p>
    <w:p w14:paraId="2D6BC043" w14:textId="77777777" w:rsidR="00BB37C1" w:rsidRPr="007504E6" w:rsidRDefault="00BB37C1" w:rsidP="00BB37C1">
      <w:pPr>
        <w:spacing w:line="240" w:lineRule="auto"/>
        <w:ind w:firstLine="0"/>
        <w:rPr>
          <w:rFonts w:ascii="Times New Roman" w:hAnsi="Times New Roman" w:cs="Times New Roman"/>
          <w:lang w:val="en-GB"/>
        </w:rPr>
      </w:pPr>
    </w:p>
    <w:p w14:paraId="293601A2" w14:textId="74CB903D" w:rsidR="00C44EFF" w:rsidRPr="007504E6" w:rsidRDefault="00C44EFF" w:rsidP="00C44EFF">
      <w:pPr>
        <w:pStyle w:val="Sarakstarindkopa"/>
        <w:numPr>
          <w:ilvl w:val="0"/>
          <w:numId w:val="25"/>
        </w:numPr>
        <w:spacing w:line="240" w:lineRule="auto"/>
        <w:rPr>
          <w:rFonts w:ascii="Times New Roman" w:hAnsi="Times New Roman" w:cs="Times New Roman"/>
          <w:lang w:val="en-GB"/>
        </w:rPr>
      </w:pPr>
      <w:r w:rsidRPr="007504E6">
        <w:rPr>
          <w:rFonts w:ascii="Times New Roman" w:hAnsi="Times New Roman" w:cs="Times New Roman"/>
          <w:lang w:val="en-GB"/>
        </w:rPr>
        <w:t>The growth of construction output in 2021 is forecasted at 6.6% and in 2022 at 7.15%. Between 2023 and 2025, the average estimate is an increase of 5.5% per year.</w:t>
      </w:r>
    </w:p>
    <w:p w14:paraId="17E9620B" w14:textId="77777777" w:rsidR="00C44EFF" w:rsidRPr="007504E6" w:rsidRDefault="00C44EFF" w:rsidP="00C44EFF">
      <w:pPr>
        <w:pStyle w:val="Sarakstarindkopa"/>
        <w:spacing w:line="240" w:lineRule="auto"/>
        <w:ind w:left="360" w:firstLine="0"/>
        <w:rPr>
          <w:rFonts w:ascii="Times New Roman" w:hAnsi="Times New Roman" w:cs="Times New Roman"/>
          <w:lang w:val="en-GB"/>
        </w:rPr>
      </w:pPr>
    </w:p>
    <w:p w14:paraId="6F6310B1" w14:textId="034DBB9B" w:rsidR="00C44EFF" w:rsidRPr="007504E6" w:rsidRDefault="00C44EFF" w:rsidP="00C44EFF">
      <w:pPr>
        <w:pStyle w:val="Sarakstarindkopa"/>
        <w:numPr>
          <w:ilvl w:val="0"/>
          <w:numId w:val="25"/>
        </w:numPr>
        <w:spacing w:line="240" w:lineRule="auto"/>
        <w:rPr>
          <w:rFonts w:ascii="Times New Roman" w:hAnsi="Times New Roman" w:cs="Times New Roman"/>
          <w:lang w:val="en-GB"/>
        </w:rPr>
      </w:pPr>
      <w:r w:rsidRPr="007504E6">
        <w:rPr>
          <w:rFonts w:ascii="Times New Roman" w:hAnsi="Times New Roman" w:cs="Times New Roman"/>
          <w:lang w:val="en-GB"/>
        </w:rPr>
        <w:t>The main driving forces of the construction industry in 2021-2025. There will be a post - pandemic economic recovery, national and EU support for economic recovery and major infrastructure projects.</w:t>
      </w:r>
    </w:p>
    <w:p w14:paraId="46844831" w14:textId="77777777" w:rsidR="00C44EFF" w:rsidRPr="007504E6" w:rsidRDefault="00C44EFF" w:rsidP="00C44EFF">
      <w:pPr>
        <w:pStyle w:val="Sarakstarindkopa"/>
        <w:spacing w:line="240" w:lineRule="auto"/>
        <w:ind w:left="360" w:firstLine="0"/>
        <w:rPr>
          <w:rFonts w:ascii="Times New Roman" w:hAnsi="Times New Roman" w:cs="Times New Roman"/>
          <w:lang w:val="en-GB"/>
        </w:rPr>
      </w:pPr>
    </w:p>
    <w:p w14:paraId="5BD25D3C" w14:textId="2E9B4927" w:rsidR="00C44EFF" w:rsidRPr="007504E6" w:rsidRDefault="00C44EFF" w:rsidP="00C44EFF">
      <w:pPr>
        <w:pStyle w:val="Sarakstarindkopa"/>
        <w:numPr>
          <w:ilvl w:val="0"/>
          <w:numId w:val="25"/>
        </w:numPr>
        <w:spacing w:line="240" w:lineRule="auto"/>
        <w:rPr>
          <w:rFonts w:ascii="Times New Roman" w:hAnsi="Times New Roman" w:cs="Times New Roman"/>
          <w:lang w:val="en-GB"/>
        </w:rPr>
      </w:pPr>
      <w:r w:rsidRPr="007504E6">
        <w:rPr>
          <w:rFonts w:ascii="Times New Roman" w:hAnsi="Times New Roman" w:cs="Times New Roman"/>
          <w:lang w:val="en-GB"/>
        </w:rPr>
        <w:t xml:space="preserve">Construction costs are expected to increase significantly in 2021, estimated at 6.6% according to the combined forecast of researchers, but in case of </w:t>
      </w:r>
      <w:proofErr w:type="spellStart"/>
      <w:r w:rsidRPr="007504E6">
        <w:rPr>
          <w:rFonts w:ascii="Times New Roman" w:hAnsi="Times New Roman" w:cs="Times New Roman"/>
          <w:lang w:val="en-GB"/>
        </w:rPr>
        <w:t>unfavorable</w:t>
      </w:r>
      <w:proofErr w:type="spellEnd"/>
      <w:r w:rsidRPr="007504E6">
        <w:rPr>
          <w:rFonts w:ascii="Times New Roman" w:hAnsi="Times New Roman" w:cs="Times New Roman"/>
          <w:lang w:val="en-GB"/>
        </w:rPr>
        <w:t xml:space="preserve"> global situation (logistics problems, high market demand, non-increase of producer capacity) could reach 11.4%.</w:t>
      </w:r>
    </w:p>
    <w:p w14:paraId="304FB40B" w14:textId="77777777" w:rsidR="00C44EFF" w:rsidRPr="007504E6" w:rsidRDefault="00C44EFF" w:rsidP="00C44EFF">
      <w:pPr>
        <w:pStyle w:val="Sarakstarindkopa"/>
        <w:spacing w:line="240" w:lineRule="auto"/>
        <w:ind w:left="360" w:firstLine="0"/>
        <w:rPr>
          <w:rFonts w:ascii="Times New Roman" w:hAnsi="Times New Roman" w:cs="Times New Roman"/>
          <w:lang w:val="en-GB"/>
        </w:rPr>
      </w:pPr>
    </w:p>
    <w:p w14:paraId="7CBADD63" w14:textId="71851093" w:rsidR="00C44EFF" w:rsidRPr="007504E6" w:rsidRDefault="00C44EFF" w:rsidP="00C44EFF">
      <w:pPr>
        <w:pStyle w:val="Sarakstarindkopa"/>
        <w:numPr>
          <w:ilvl w:val="0"/>
          <w:numId w:val="25"/>
        </w:numPr>
        <w:spacing w:line="240" w:lineRule="auto"/>
        <w:rPr>
          <w:rFonts w:ascii="Times New Roman" w:hAnsi="Times New Roman" w:cs="Times New Roman"/>
          <w:lang w:val="en-GB"/>
        </w:rPr>
      </w:pPr>
      <w:r w:rsidRPr="007504E6">
        <w:rPr>
          <w:rFonts w:ascii="Times New Roman" w:hAnsi="Times New Roman" w:cs="Times New Roman"/>
          <w:lang w:val="en-GB"/>
        </w:rPr>
        <w:t>Between 2022 and 2025, the increase in construction costs will decrease, but in 2022 it will still be higher than in the pre-pandemic years with 5.5% but will return to the average level of the last decade in 2023-2025. with an average annual increase of 3.3% per year, which is lower than in 2018 and 2019.</w:t>
      </w:r>
    </w:p>
    <w:p w14:paraId="27CC258A" w14:textId="77777777" w:rsidR="00C44EFF" w:rsidRPr="007504E6" w:rsidRDefault="00C44EFF" w:rsidP="00C44EFF">
      <w:pPr>
        <w:pStyle w:val="Sarakstarindkopa"/>
        <w:spacing w:line="240" w:lineRule="auto"/>
        <w:ind w:left="360" w:firstLine="0"/>
        <w:rPr>
          <w:rFonts w:ascii="Times New Roman" w:hAnsi="Times New Roman" w:cs="Times New Roman"/>
          <w:lang w:val="en-GB"/>
        </w:rPr>
      </w:pPr>
    </w:p>
    <w:p w14:paraId="33A2D8B5" w14:textId="1058EC19" w:rsidR="00BB37C1" w:rsidRPr="007504E6" w:rsidRDefault="00C44EFF" w:rsidP="00C44EFF">
      <w:pPr>
        <w:pStyle w:val="Sarakstarindkopa"/>
        <w:numPr>
          <w:ilvl w:val="0"/>
          <w:numId w:val="25"/>
        </w:numPr>
        <w:spacing w:line="240" w:lineRule="auto"/>
        <w:rPr>
          <w:rFonts w:ascii="Times New Roman" w:hAnsi="Times New Roman" w:cs="Times New Roman"/>
          <w:lang w:val="en-GB"/>
        </w:rPr>
      </w:pPr>
      <w:r w:rsidRPr="007504E6">
        <w:rPr>
          <w:rFonts w:ascii="Times New Roman" w:hAnsi="Times New Roman" w:cs="Times New Roman"/>
          <w:lang w:val="en-GB"/>
        </w:rPr>
        <w:t>According to the information and assessments summarized in the Study, the risks of overheating of the construction sector increase dynamically from 2020 to 2021, however, these risks are significantly lower than in 2006-2008 per year</w:t>
      </w:r>
      <w:r w:rsidR="00BB37C1" w:rsidRPr="007504E6">
        <w:rPr>
          <w:rFonts w:ascii="Times New Roman" w:hAnsi="Times New Roman" w:cs="Times New Roman"/>
          <w:lang w:val="en-GB"/>
        </w:rPr>
        <w:t xml:space="preserve">. </w:t>
      </w:r>
    </w:p>
    <w:p w14:paraId="09606BC1" w14:textId="77777777" w:rsidR="00BB37C1" w:rsidRPr="007504E6" w:rsidRDefault="00BB37C1" w:rsidP="00BB37C1">
      <w:pPr>
        <w:pStyle w:val="Sarakstarindkopa"/>
        <w:spacing w:line="240" w:lineRule="auto"/>
        <w:ind w:left="360" w:firstLine="0"/>
        <w:rPr>
          <w:rFonts w:ascii="Times New Roman" w:hAnsi="Times New Roman" w:cs="Times New Roman"/>
          <w:lang w:val="en-GB"/>
        </w:rPr>
      </w:pPr>
    </w:p>
    <w:p w14:paraId="53126FFA" w14:textId="0234AF79" w:rsidR="00BB37C1" w:rsidRPr="007504E6" w:rsidRDefault="006F752C" w:rsidP="00BB37C1">
      <w:pPr>
        <w:spacing w:line="240" w:lineRule="auto"/>
        <w:ind w:firstLine="0"/>
        <w:rPr>
          <w:rFonts w:ascii="Times New Roman" w:hAnsi="Times New Roman" w:cs="Times New Roman"/>
          <w:lang w:val="en-GB"/>
        </w:rPr>
      </w:pPr>
      <w:r w:rsidRPr="007504E6">
        <w:rPr>
          <w:rFonts w:ascii="Times New Roman" w:hAnsi="Times New Roman" w:cs="Times New Roman"/>
          <w:lang w:val="en-GB"/>
        </w:rPr>
        <w:t>If at the end of 2021 the significant short-term jumps in the costs of timber and metal products decrease, then the dynamics for 2022 is expected to reduce the risk of overheating of construction and a similar trend until 2025</w:t>
      </w:r>
      <w:r w:rsidR="00BB37C1" w:rsidRPr="007504E6">
        <w:rPr>
          <w:rFonts w:ascii="Times New Roman" w:hAnsi="Times New Roman" w:cs="Times New Roman"/>
          <w:lang w:val="en-GB"/>
        </w:rPr>
        <w:t>.</w:t>
      </w:r>
    </w:p>
    <w:p w14:paraId="055EB1C0" w14:textId="6004B391" w:rsidR="00BB37C1" w:rsidRDefault="00BB37C1" w:rsidP="00BB37C1">
      <w:pPr>
        <w:spacing w:line="240" w:lineRule="auto"/>
        <w:ind w:firstLine="0"/>
        <w:rPr>
          <w:rFonts w:ascii="Times New Roman" w:hAnsi="Times New Roman" w:cs="Times New Roman"/>
          <w:b/>
          <w:bCs/>
          <w:lang w:val="en-GB"/>
        </w:rPr>
      </w:pPr>
    </w:p>
    <w:p w14:paraId="2F69AD6D" w14:textId="77777777" w:rsidR="004D0739" w:rsidRPr="007504E6" w:rsidRDefault="004D0739" w:rsidP="00BB37C1">
      <w:pPr>
        <w:spacing w:line="240" w:lineRule="auto"/>
        <w:ind w:firstLine="0"/>
        <w:rPr>
          <w:rFonts w:ascii="Times New Roman" w:hAnsi="Times New Roman" w:cs="Times New Roman"/>
          <w:b/>
          <w:bCs/>
          <w:lang w:val="en-GB"/>
        </w:rPr>
      </w:pPr>
    </w:p>
    <w:p w14:paraId="1CD5C3C1" w14:textId="3A8B86A9" w:rsidR="00BB37C1" w:rsidRPr="007504E6" w:rsidRDefault="00D65EB6" w:rsidP="00BB37C1">
      <w:pPr>
        <w:spacing w:line="240" w:lineRule="auto"/>
        <w:ind w:firstLine="0"/>
        <w:rPr>
          <w:rFonts w:ascii="Times New Roman" w:hAnsi="Times New Roman" w:cs="Times New Roman"/>
          <w:b/>
          <w:bCs/>
          <w:lang w:val="en-GB"/>
        </w:rPr>
      </w:pPr>
      <w:r w:rsidRPr="007504E6">
        <w:rPr>
          <w:rFonts w:ascii="Times New Roman" w:hAnsi="Times New Roman" w:cs="Times New Roman"/>
          <w:b/>
          <w:bCs/>
          <w:noProof/>
          <w:lang w:val="en-GB"/>
        </w:rPr>
        <w:drawing>
          <wp:anchor distT="0" distB="0" distL="114300" distR="114300" simplePos="0" relativeHeight="251766784" behindDoc="0" locked="0" layoutInCell="1" allowOverlap="1" wp14:anchorId="6209009C" wp14:editId="19929CB1">
            <wp:simplePos x="0" y="0"/>
            <wp:positionH relativeFrom="margin">
              <wp:posOffset>2418715</wp:posOffset>
            </wp:positionH>
            <wp:positionV relativeFrom="paragraph">
              <wp:posOffset>139065</wp:posOffset>
            </wp:positionV>
            <wp:extent cx="2692400" cy="328295"/>
            <wp:effectExtent l="0" t="0" r="0" b="0"/>
            <wp:wrapNone/>
            <wp:docPr id="203" name="Graphic 203" descr="A brush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A brushstroke"/>
                    <pic:cNvPicPr/>
                  </pic:nvPicPr>
                  <pic:blipFill rotWithShape="1">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rcRect t="39070" b="41624"/>
                    <a:stretch/>
                  </pic:blipFill>
                  <pic:spPr bwMode="auto">
                    <a:xfrm>
                      <a:off x="0" y="0"/>
                      <a:ext cx="2692400" cy="328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5EB6">
        <w:rPr>
          <w:rFonts w:ascii="Times New Roman" w:hAnsi="Times New Roman" w:cs="Times New Roman"/>
          <w:b/>
          <w:bCs/>
          <w:lang w:val="en-GB"/>
        </w:rPr>
        <w:t xml:space="preserve">DETAILED FORECASTS FOR THE CONSTRUCTION SUB - SECTORS </w:t>
      </w:r>
    </w:p>
    <w:p w14:paraId="4FC39502" w14:textId="57E43031" w:rsidR="00BB37C1" w:rsidRPr="007504E6" w:rsidRDefault="00BB37C1" w:rsidP="00BB37C1">
      <w:pPr>
        <w:spacing w:line="240" w:lineRule="auto"/>
        <w:ind w:firstLine="0"/>
        <w:rPr>
          <w:rFonts w:ascii="Times New Roman" w:hAnsi="Times New Roman" w:cs="Times New Roman"/>
          <w:lang w:val="en-GB"/>
        </w:rPr>
      </w:pPr>
    </w:p>
    <w:p w14:paraId="1D385C06" w14:textId="4E840A4A" w:rsidR="00BB37C1" w:rsidRPr="007504E6" w:rsidRDefault="00BB37C1" w:rsidP="00BB37C1">
      <w:pPr>
        <w:spacing w:line="240" w:lineRule="auto"/>
        <w:ind w:firstLine="0"/>
        <w:rPr>
          <w:rFonts w:ascii="Times New Roman" w:hAnsi="Times New Roman" w:cs="Times New Roman"/>
          <w:lang w:val="en-GB"/>
        </w:rPr>
      </w:pPr>
    </w:p>
    <w:p w14:paraId="162F140B" w14:textId="09A0B361" w:rsidR="00BB37C1" w:rsidRPr="007504E6" w:rsidRDefault="006F752C" w:rsidP="00BB37C1">
      <w:pPr>
        <w:spacing w:line="240" w:lineRule="auto"/>
        <w:ind w:firstLine="0"/>
        <w:rPr>
          <w:rFonts w:ascii="Times New Roman" w:hAnsi="Times New Roman" w:cs="Times New Roman"/>
          <w:lang w:val="en-GB"/>
        </w:rPr>
      </w:pPr>
      <w:r w:rsidRPr="007504E6">
        <w:rPr>
          <w:rFonts w:ascii="Times New Roman" w:hAnsi="Times New Roman" w:cs="Times New Roman"/>
          <w:lang w:val="en-GB"/>
        </w:rPr>
        <w:t>The study involved experts representing various construction sub-sectors - buildings, transport facilities, urban construction, special facilities and architectural and engineering services, technical inspection and analysis sub-sector. As a result, specific forecasts for sub-sectors were obtained</w:t>
      </w:r>
      <w:r w:rsidR="00BB37C1" w:rsidRPr="007504E6">
        <w:rPr>
          <w:rFonts w:ascii="Times New Roman" w:hAnsi="Times New Roman" w:cs="Times New Roman"/>
          <w:lang w:val="en-GB"/>
        </w:rPr>
        <w:t>.</w:t>
      </w:r>
    </w:p>
    <w:p w14:paraId="2720B6E0" w14:textId="77777777" w:rsidR="00BB37C1" w:rsidRPr="007504E6" w:rsidRDefault="00BB37C1" w:rsidP="00BB37C1">
      <w:pPr>
        <w:spacing w:line="240" w:lineRule="auto"/>
        <w:rPr>
          <w:rFonts w:ascii="Times New Roman" w:hAnsi="Times New Roman" w:cs="Times New Roman"/>
          <w:lang w:val="en-GB"/>
        </w:rPr>
      </w:pPr>
    </w:p>
    <w:p w14:paraId="20058610" w14:textId="34B30D57" w:rsidR="006F752C" w:rsidRPr="007504E6" w:rsidRDefault="006F752C" w:rsidP="006F752C">
      <w:pPr>
        <w:pStyle w:val="Sarakstarindkopa"/>
        <w:numPr>
          <w:ilvl w:val="0"/>
          <w:numId w:val="25"/>
        </w:numPr>
        <w:spacing w:line="240" w:lineRule="auto"/>
        <w:rPr>
          <w:rFonts w:ascii="Times New Roman" w:hAnsi="Times New Roman" w:cs="Times New Roman"/>
          <w:lang w:val="en-GB"/>
        </w:rPr>
      </w:pPr>
      <w:r w:rsidRPr="007504E6">
        <w:rPr>
          <w:rFonts w:ascii="Times New Roman" w:hAnsi="Times New Roman" w:cs="Times New Roman"/>
          <w:lang w:val="en-GB"/>
        </w:rPr>
        <w:t>In the construction of residential buildings, faster growth is expected than in the segment of non-residential buildings. The forecast for the growth of building construction in 2021 is 5.9% and in 2022 6.0%. In the period 2023-2025. Growth is expected to accelerate to 8.2% on average in 2007.</w:t>
      </w:r>
    </w:p>
    <w:p w14:paraId="0EF4E81C" w14:textId="77777777" w:rsidR="006F752C" w:rsidRPr="007504E6" w:rsidRDefault="006F752C" w:rsidP="006F752C">
      <w:pPr>
        <w:pStyle w:val="Sarakstarindkopa"/>
        <w:spacing w:line="240" w:lineRule="auto"/>
        <w:ind w:left="360" w:firstLine="0"/>
        <w:rPr>
          <w:rFonts w:ascii="Times New Roman" w:hAnsi="Times New Roman" w:cs="Times New Roman"/>
          <w:lang w:val="en-GB"/>
        </w:rPr>
      </w:pPr>
    </w:p>
    <w:p w14:paraId="64793AE8" w14:textId="3C463BE0" w:rsidR="006F752C" w:rsidRPr="007504E6" w:rsidRDefault="006F752C" w:rsidP="006F752C">
      <w:pPr>
        <w:pStyle w:val="Sarakstarindkopa"/>
        <w:numPr>
          <w:ilvl w:val="0"/>
          <w:numId w:val="25"/>
        </w:numPr>
        <w:spacing w:line="240" w:lineRule="auto"/>
        <w:rPr>
          <w:rFonts w:ascii="Times New Roman" w:hAnsi="Times New Roman" w:cs="Times New Roman"/>
          <w:lang w:val="en-GB"/>
        </w:rPr>
      </w:pPr>
      <w:r w:rsidRPr="007504E6">
        <w:rPr>
          <w:rFonts w:ascii="Times New Roman" w:hAnsi="Times New Roman" w:cs="Times New Roman"/>
          <w:lang w:val="en-GB"/>
        </w:rPr>
        <w:t>Costs in building construction are forecast to increase by 11.6% in 2021, followed by a more moderate increase in the coming years, with an average annual increase of 6.1% by 2025.</w:t>
      </w:r>
    </w:p>
    <w:p w14:paraId="19D5D417" w14:textId="77777777" w:rsidR="006F752C" w:rsidRPr="007504E6" w:rsidRDefault="006F752C" w:rsidP="006F752C">
      <w:pPr>
        <w:pStyle w:val="Sarakstarindkopa"/>
        <w:spacing w:line="240" w:lineRule="auto"/>
        <w:ind w:left="360" w:firstLine="0"/>
        <w:rPr>
          <w:rFonts w:ascii="Times New Roman" w:hAnsi="Times New Roman" w:cs="Times New Roman"/>
          <w:lang w:val="en-GB"/>
        </w:rPr>
      </w:pPr>
    </w:p>
    <w:p w14:paraId="3B3628DC" w14:textId="60492EC8" w:rsidR="006F752C" w:rsidRPr="007504E6" w:rsidRDefault="006F752C" w:rsidP="006F752C">
      <w:pPr>
        <w:pStyle w:val="Sarakstarindkopa"/>
        <w:numPr>
          <w:ilvl w:val="0"/>
          <w:numId w:val="25"/>
        </w:numPr>
        <w:spacing w:line="240" w:lineRule="auto"/>
        <w:rPr>
          <w:rFonts w:ascii="Times New Roman" w:hAnsi="Times New Roman" w:cs="Times New Roman"/>
          <w:lang w:val="en-GB"/>
        </w:rPr>
      </w:pPr>
      <w:r w:rsidRPr="007504E6">
        <w:rPr>
          <w:rFonts w:ascii="Times New Roman" w:hAnsi="Times New Roman" w:cs="Times New Roman"/>
          <w:lang w:val="en-GB"/>
        </w:rPr>
        <w:t>The transport construction industry will face volatile trends in the short term, experts are not entirely clear about the expected funding in 2022, with a projected market reduction of 4.6% in road and motorway construction and 0.25% in bridge and tunnel construction during this period. in production.</w:t>
      </w:r>
    </w:p>
    <w:p w14:paraId="27CA43BC" w14:textId="77777777" w:rsidR="006F752C" w:rsidRPr="007504E6" w:rsidRDefault="006F752C" w:rsidP="006F752C">
      <w:pPr>
        <w:pStyle w:val="Sarakstarindkopa"/>
        <w:spacing w:line="240" w:lineRule="auto"/>
        <w:ind w:left="360" w:firstLine="0"/>
        <w:rPr>
          <w:rFonts w:ascii="Times New Roman" w:hAnsi="Times New Roman" w:cs="Times New Roman"/>
          <w:lang w:val="en-GB"/>
        </w:rPr>
      </w:pPr>
    </w:p>
    <w:p w14:paraId="15954589" w14:textId="25D78DF9" w:rsidR="006F752C" w:rsidRPr="007504E6" w:rsidRDefault="006F752C" w:rsidP="006F752C">
      <w:pPr>
        <w:pStyle w:val="Sarakstarindkopa"/>
        <w:numPr>
          <w:ilvl w:val="0"/>
          <w:numId w:val="25"/>
        </w:numPr>
        <w:spacing w:line="240" w:lineRule="auto"/>
        <w:rPr>
          <w:rFonts w:ascii="Times New Roman" w:hAnsi="Times New Roman" w:cs="Times New Roman"/>
          <w:lang w:val="en-GB"/>
        </w:rPr>
      </w:pPr>
      <w:r w:rsidRPr="007504E6">
        <w:rPr>
          <w:rFonts w:ascii="Times New Roman" w:hAnsi="Times New Roman" w:cs="Times New Roman"/>
          <w:lang w:val="en-GB"/>
        </w:rPr>
        <w:t>In the medium term 2023-2025. In the road and highway construction sub - sectors, moderate growth of 1.5% on average is forecast for. At the same time, construction of railways, bridges and tunnels is projected to grow at an average rate of 40.3% per year (expert forecast) in railway construction and between 19.2% (combined forecast) and 38.5% (expert forecast) per year in bridge and tunnel construction.</w:t>
      </w:r>
    </w:p>
    <w:p w14:paraId="1A996220" w14:textId="77777777" w:rsidR="006F752C" w:rsidRPr="007504E6" w:rsidRDefault="006F752C" w:rsidP="006F752C">
      <w:pPr>
        <w:pStyle w:val="Sarakstarindkopa"/>
        <w:spacing w:line="240" w:lineRule="auto"/>
        <w:ind w:left="360" w:firstLine="0"/>
        <w:rPr>
          <w:rFonts w:ascii="Times New Roman" w:hAnsi="Times New Roman" w:cs="Times New Roman"/>
          <w:lang w:val="en-GB"/>
        </w:rPr>
      </w:pPr>
    </w:p>
    <w:p w14:paraId="095638CD" w14:textId="45D945ED" w:rsidR="006F752C" w:rsidRPr="007504E6" w:rsidRDefault="006F752C" w:rsidP="006F752C">
      <w:pPr>
        <w:pStyle w:val="Sarakstarindkopa"/>
        <w:numPr>
          <w:ilvl w:val="0"/>
          <w:numId w:val="25"/>
        </w:numPr>
        <w:spacing w:line="240" w:lineRule="auto"/>
        <w:rPr>
          <w:rFonts w:ascii="Times New Roman" w:hAnsi="Times New Roman" w:cs="Times New Roman"/>
          <w:lang w:val="en-GB"/>
        </w:rPr>
      </w:pPr>
      <w:r w:rsidRPr="007504E6">
        <w:rPr>
          <w:rFonts w:ascii="Times New Roman" w:hAnsi="Times New Roman" w:cs="Times New Roman"/>
          <w:lang w:val="en-GB"/>
        </w:rPr>
        <w:t>In the short term, in the sub-sector of construction of transport facilities, the largest increase in costs is expected in specialized construction works (15.7%) and in the sub-sector of architecture and engineering services, technical testing and analysis (13.6%), but on average high increase (10.0-11.6%)</w:t>
      </w:r>
      <w:r w:rsidR="006369E8">
        <w:rPr>
          <w:rFonts w:ascii="Times New Roman" w:hAnsi="Times New Roman" w:cs="Times New Roman"/>
          <w:lang w:val="en-GB"/>
        </w:rPr>
        <w:t xml:space="preserve"> </w:t>
      </w:r>
      <w:r w:rsidRPr="007504E6">
        <w:rPr>
          <w:rFonts w:ascii="Times New Roman" w:hAnsi="Times New Roman" w:cs="Times New Roman"/>
          <w:lang w:val="en-GB"/>
        </w:rPr>
        <w:t>is forecast for the railway and metro construction sub-sector, road and motorway construction and building construction. The smallest increase in costs is forecasted for urban infrastructure with 9.6% and for construction of bridges and tunnels with 4.0%.</w:t>
      </w:r>
    </w:p>
    <w:p w14:paraId="4BCDB569" w14:textId="77777777" w:rsidR="006F752C" w:rsidRPr="007504E6" w:rsidRDefault="006F752C" w:rsidP="00095DC9">
      <w:pPr>
        <w:pStyle w:val="Sarakstarindkopa"/>
        <w:spacing w:line="240" w:lineRule="auto"/>
        <w:ind w:left="360" w:firstLine="0"/>
        <w:rPr>
          <w:rFonts w:ascii="Times New Roman" w:hAnsi="Times New Roman" w:cs="Times New Roman"/>
          <w:lang w:val="en-GB"/>
        </w:rPr>
      </w:pPr>
    </w:p>
    <w:p w14:paraId="2DB56C0A" w14:textId="3DCC743C" w:rsidR="006F752C" w:rsidRPr="007504E6" w:rsidRDefault="006F752C" w:rsidP="006F752C">
      <w:pPr>
        <w:pStyle w:val="Sarakstarindkopa"/>
        <w:numPr>
          <w:ilvl w:val="0"/>
          <w:numId w:val="25"/>
        </w:numPr>
        <w:spacing w:line="240" w:lineRule="auto"/>
        <w:rPr>
          <w:rFonts w:ascii="Times New Roman" w:hAnsi="Times New Roman" w:cs="Times New Roman"/>
          <w:lang w:val="en-GB"/>
        </w:rPr>
      </w:pPr>
      <w:r w:rsidRPr="007504E6">
        <w:rPr>
          <w:rFonts w:ascii="Times New Roman" w:hAnsi="Times New Roman" w:cs="Times New Roman"/>
          <w:lang w:val="en-GB"/>
        </w:rPr>
        <w:t>In the medium term, the transport sector could face significant cost increases in the construction of transport facilities, in particular railways, bridges and tunnels. On average in 2022-2025. Construction costs of roads and motorways could increase by 7.1% per year, construction of railways by 13.6% per year and construction of bridges and tunnels by 13.7% per year.</w:t>
      </w:r>
    </w:p>
    <w:p w14:paraId="23FE8EE1" w14:textId="77777777" w:rsidR="006F752C" w:rsidRPr="007504E6" w:rsidRDefault="006F752C" w:rsidP="00095DC9">
      <w:pPr>
        <w:pStyle w:val="Sarakstarindkopa"/>
        <w:spacing w:line="240" w:lineRule="auto"/>
        <w:ind w:left="360" w:firstLine="0"/>
        <w:rPr>
          <w:rFonts w:ascii="Times New Roman" w:hAnsi="Times New Roman" w:cs="Times New Roman"/>
          <w:lang w:val="en-GB"/>
        </w:rPr>
      </w:pPr>
    </w:p>
    <w:p w14:paraId="77BC2002" w14:textId="6889C502" w:rsidR="006F752C" w:rsidRPr="007504E6" w:rsidRDefault="006F752C" w:rsidP="006F752C">
      <w:pPr>
        <w:pStyle w:val="Sarakstarindkopa"/>
        <w:numPr>
          <w:ilvl w:val="0"/>
          <w:numId w:val="25"/>
        </w:numPr>
        <w:spacing w:line="240" w:lineRule="auto"/>
        <w:rPr>
          <w:rFonts w:ascii="Times New Roman" w:hAnsi="Times New Roman" w:cs="Times New Roman"/>
          <w:lang w:val="en-GB"/>
        </w:rPr>
      </w:pPr>
      <w:r w:rsidRPr="007504E6">
        <w:rPr>
          <w:rFonts w:ascii="Times New Roman" w:hAnsi="Times New Roman" w:cs="Times New Roman"/>
          <w:lang w:val="en-GB"/>
        </w:rPr>
        <w:t>The sub-sector of architecture and engineering services, technical testing and analysis in the period from 2021 to 2024 is forecast to grow faster from 6.4% in 2021 to 17.9% compared to the previous year in 2024.</w:t>
      </w:r>
    </w:p>
    <w:p w14:paraId="0724D781" w14:textId="77777777" w:rsidR="006F752C" w:rsidRPr="007504E6" w:rsidRDefault="006F752C" w:rsidP="00095DC9">
      <w:pPr>
        <w:pStyle w:val="Sarakstarindkopa"/>
        <w:spacing w:line="240" w:lineRule="auto"/>
        <w:ind w:left="360" w:firstLine="0"/>
        <w:rPr>
          <w:rFonts w:ascii="Times New Roman" w:hAnsi="Times New Roman" w:cs="Times New Roman"/>
          <w:lang w:val="en-GB"/>
        </w:rPr>
      </w:pPr>
    </w:p>
    <w:p w14:paraId="4DD48EE1" w14:textId="5715FC4F" w:rsidR="00BB37C1" w:rsidRPr="007504E6" w:rsidRDefault="006F752C" w:rsidP="006F752C">
      <w:pPr>
        <w:pStyle w:val="Sarakstarindkopa"/>
        <w:numPr>
          <w:ilvl w:val="0"/>
          <w:numId w:val="25"/>
        </w:numPr>
        <w:spacing w:line="240" w:lineRule="auto"/>
        <w:rPr>
          <w:rFonts w:ascii="Times New Roman" w:hAnsi="Times New Roman" w:cs="Times New Roman"/>
          <w:lang w:val="en-GB"/>
        </w:rPr>
      </w:pPr>
      <w:r w:rsidRPr="007504E6">
        <w:rPr>
          <w:rFonts w:ascii="Times New Roman" w:hAnsi="Times New Roman" w:cs="Times New Roman"/>
          <w:lang w:val="en-GB"/>
        </w:rPr>
        <w:t>The costs of the sub-sector of architectural and engineering services, technical testing and analysis in 2021 and 2022 could increase significantly by 13.6% and 15.7%, respectively, however, in the medium term the increase in costs is estimated to be lower on average in 2023-2025. per year than 5.2% per year</w:t>
      </w:r>
      <w:r w:rsidR="00BB37C1" w:rsidRPr="007504E6">
        <w:rPr>
          <w:rFonts w:ascii="Times New Roman" w:hAnsi="Times New Roman" w:cs="Times New Roman"/>
          <w:lang w:val="en-GB"/>
        </w:rPr>
        <w:t>.</w:t>
      </w:r>
    </w:p>
    <w:p w14:paraId="6E7A209B" w14:textId="77777777" w:rsidR="00BB37C1" w:rsidRPr="007504E6" w:rsidRDefault="00BB37C1" w:rsidP="00BB37C1">
      <w:pPr>
        <w:pStyle w:val="Sarakstarindkopa"/>
        <w:spacing w:line="240" w:lineRule="auto"/>
        <w:ind w:left="360" w:firstLine="0"/>
        <w:rPr>
          <w:rFonts w:ascii="Times New Roman" w:hAnsi="Times New Roman" w:cs="Times New Roman"/>
          <w:lang w:val="en-GB"/>
        </w:rPr>
      </w:pPr>
    </w:p>
    <w:p w14:paraId="669CA1E3" w14:textId="77777777" w:rsidR="006369E8" w:rsidRDefault="006369E8" w:rsidP="006369E8">
      <w:pPr>
        <w:spacing w:line="240" w:lineRule="auto"/>
        <w:ind w:firstLine="0"/>
        <w:rPr>
          <w:rFonts w:ascii="Times New Roman" w:hAnsi="Times New Roman" w:cs="Times New Roman"/>
          <w:lang w:val="en-GB"/>
        </w:rPr>
      </w:pPr>
    </w:p>
    <w:p w14:paraId="5E41D677" w14:textId="06496A89" w:rsidR="00BB37C1" w:rsidRPr="007504E6" w:rsidRDefault="00ED7ECC" w:rsidP="006369E8">
      <w:pPr>
        <w:spacing w:line="240" w:lineRule="auto"/>
        <w:ind w:firstLine="0"/>
        <w:rPr>
          <w:rFonts w:ascii="Times New Roman" w:hAnsi="Times New Roman" w:cs="Times New Roman"/>
          <w:lang w:val="en-GB"/>
        </w:rPr>
      </w:pPr>
      <w:r w:rsidRPr="007504E6">
        <w:rPr>
          <w:rFonts w:ascii="Times New Roman" w:hAnsi="Times New Roman" w:cs="Times New Roman"/>
          <w:lang w:val="en-GB"/>
        </w:rPr>
        <w:t xml:space="preserve">In a more detailed breakdown, construction costs by type of resources were studied - workers' wages, construction materials, maintenance and operation of machines and mechanisms, as well as architectural and engineering </w:t>
      </w:r>
      <w:r w:rsidR="006369E8" w:rsidRPr="007504E6">
        <w:rPr>
          <w:rFonts w:ascii="Times New Roman" w:hAnsi="Times New Roman" w:cs="Times New Roman"/>
          <w:lang w:val="en-GB"/>
        </w:rPr>
        <w:t>services,</w:t>
      </w:r>
      <w:r w:rsidRPr="007504E6">
        <w:rPr>
          <w:rFonts w:ascii="Times New Roman" w:hAnsi="Times New Roman" w:cs="Times New Roman"/>
          <w:lang w:val="en-GB"/>
        </w:rPr>
        <w:t xml:space="preserve"> technical testing and analysis</w:t>
      </w:r>
      <w:r w:rsidR="00BB37C1" w:rsidRPr="007504E6">
        <w:rPr>
          <w:rFonts w:ascii="Times New Roman" w:hAnsi="Times New Roman" w:cs="Times New Roman"/>
          <w:lang w:val="en-GB"/>
        </w:rPr>
        <w:t>.</w:t>
      </w:r>
    </w:p>
    <w:p w14:paraId="1ECD6C53" w14:textId="77777777" w:rsidR="00BB37C1" w:rsidRPr="007504E6" w:rsidRDefault="00BB37C1" w:rsidP="00BB37C1">
      <w:pPr>
        <w:spacing w:line="240" w:lineRule="auto"/>
        <w:rPr>
          <w:rFonts w:ascii="Times New Roman" w:hAnsi="Times New Roman" w:cs="Times New Roman"/>
          <w:lang w:val="en-GB"/>
        </w:rPr>
      </w:pPr>
    </w:p>
    <w:p w14:paraId="149FD64F" w14:textId="69CA9D1F" w:rsidR="00ED7ECC" w:rsidRPr="007504E6" w:rsidRDefault="00ED7ECC" w:rsidP="00ED7ECC">
      <w:pPr>
        <w:pStyle w:val="Sarakstarindkopa"/>
        <w:numPr>
          <w:ilvl w:val="0"/>
          <w:numId w:val="25"/>
        </w:numPr>
        <w:spacing w:line="240" w:lineRule="auto"/>
        <w:rPr>
          <w:rFonts w:ascii="Times New Roman" w:hAnsi="Times New Roman" w:cs="Times New Roman"/>
          <w:lang w:val="en-GB"/>
        </w:rPr>
      </w:pPr>
      <w:r w:rsidRPr="007504E6">
        <w:rPr>
          <w:rFonts w:ascii="Times New Roman" w:hAnsi="Times New Roman" w:cs="Times New Roman"/>
          <w:lang w:val="en-GB"/>
        </w:rPr>
        <w:t>A significant increase in costs in 2021 is expected for construction materials, which is estimated at 7.0% annually, in 2022 an increase of 4.5% is forecast, and in the following years until 2025, an average of 3.1% per year.</w:t>
      </w:r>
    </w:p>
    <w:p w14:paraId="52ED5EE1" w14:textId="77777777" w:rsidR="00ED7ECC" w:rsidRPr="007504E6" w:rsidRDefault="00ED7ECC" w:rsidP="00ED7ECC">
      <w:pPr>
        <w:pStyle w:val="Sarakstarindkopa"/>
        <w:spacing w:line="240" w:lineRule="auto"/>
        <w:ind w:left="360" w:firstLine="0"/>
        <w:rPr>
          <w:rFonts w:ascii="Times New Roman" w:hAnsi="Times New Roman" w:cs="Times New Roman"/>
          <w:lang w:val="en-GB"/>
        </w:rPr>
      </w:pPr>
    </w:p>
    <w:p w14:paraId="775DB0D5" w14:textId="504D170F" w:rsidR="00ED7ECC" w:rsidRPr="007504E6" w:rsidRDefault="00ED7ECC" w:rsidP="00ED7ECC">
      <w:pPr>
        <w:pStyle w:val="Sarakstarindkopa"/>
        <w:numPr>
          <w:ilvl w:val="0"/>
          <w:numId w:val="25"/>
        </w:numPr>
        <w:spacing w:line="240" w:lineRule="auto"/>
        <w:rPr>
          <w:rFonts w:ascii="Times New Roman" w:hAnsi="Times New Roman" w:cs="Times New Roman"/>
          <w:lang w:val="en-GB"/>
        </w:rPr>
      </w:pPr>
      <w:r w:rsidRPr="007504E6">
        <w:rPr>
          <w:rFonts w:ascii="Times New Roman" w:hAnsi="Times New Roman" w:cs="Times New Roman"/>
          <w:lang w:val="en-GB"/>
        </w:rPr>
        <w:t>The steady increase in workers' wages is projected to be equivalent to the previous five years, increasing by 7.1% in 2021 and by 7.4% in 2022. In the following years, the growth could decrease and is estimated at an average of 6.5% per year.</w:t>
      </w:r>
    </w:p>
    <w:p w14:paraId="6055C613" w14:textId="77777777" w:rsidR="00ED7ECC" w:rsidRPr="007504E6" w:rsidRDefault="00ED7ECC" w:rsidP="00ED7ECC">
      <w:pPr>
        <w:pStyle w:val="Sarakstarindkopa"/>
        <w:spacing w:line="240" w:lineRule="auto"/>
        <w:ind w:left="360" w:firstLine="0"/>
        <w:rPr>
          <w:rFonts w:ascii="Times New Roman" w:hAnsi="Times New Roman" w:cs="Times New Roman"/>
          <w:lang w:val="en-GB"/>
        </w:rPr>
      </w:pPr>
    </w:p>
    <w:p w14:paraId="559CB9EB" w14:textId="575F0003" w:rsidR="00ED7ECC" w:rsidRPr="007504E6" w:rsidRDefault="00ED7ECC" w:rsidP="00ED7ECC">
      <w:pPr>
        <w:pStyle w:val="Sarakstarindkopa"/>
        <w:numPr>
          <w:ilvl w:val="0"/>
          <w:numId w:val="25"/>
        </w:numPr>
        <w:spacing w:line="240" w:lineRule="auto"/>
        <w:rPr>
          <w:rFonts w:ascii="Times New Roman" w:hAnsi="Times New Roman" w:cs="Times New Roman"/>
          <w:lang w:val="en-GB"/>
        </w:rPr>
      </w:pPr>
      <w:r w:rsidRPr="007504E6">
        <w:rPr>
          <w:rFonts w:ascii="Times New Roman" w:hAnsi="Times New Roman" w:cs="Times New Roman"/>
          <w:lang w:val="en-GB"/>
        </w:rPr>
        <w:t>The cost of machinery and equipment is projected to increase relatively insignificantly by 1.3% in 2021 and 1.1% in 2022. In the further period, the growth is estimated to be even lower and could reach 0.2% growth in 2025.</w:t>
      </w:r>
    </w:p>
    <w:p w14:paraId="78953F3D" w14:textId="77777777" w:rsidR="00ED7ECC" w:rsidRPr="007504E6" w:rsidRDefault="00ED7ECC" w:rsidP="00ED7ECC">
      <w:pPr>
        <w:pStyle w:val="Sarakstarindkopa"/>
        <w:spacing w:line="240" w:lineRule="auto"/>
        <w:ind w:left="360" w:firstLine="0"/>
        <w:rPr>
          <w:rFonts w:ascii="Times New Roman" w:hAnsi="Times New Roman" w:cs="Times New Roman"/>
          <w:lang w:val="en-GB"/>
        </w:rPr>
      </w:pPr>
    </w:p>
    <w:p w14:paraId="10A80352" w14:textId="23BF8FAE" w:rsidR="00ED7ECC" w:rsidRPr="007504E6" w:rsidRDefault="00ED7ECC" w:rsidP="00ED7ECC">
      <w:pPr>
        <w:pStyle w:val="Sarakstarindkopa"/>
        <w:numPr>
          <w:ilvl w:val="0"/>
          <w:numId w:val="25"/>
        </w:numPr>
        <w:spacing w:line="240" w:lineRule="auto"/>
        <w:rPr>
          <w:rFonts w:ascii="Times New Roman" w:hAnsi="Times New Roman" w:cs="Times New Roman"/>
          <w:lang w:val="en-GB"/>
        </w:rPr>
      </w:pPr>
      <w:r w:rsidRPr="007504E6">
        <w:rPr>
          <w:rFonts w:ascii="Times New Roman" w:hAnsi="Times New Roman" w:cs="Times New Roman"/>
          <w:lang w:val="en-GB"/>
        </w:rPr>
        <w:t>In the construction of residential and non-residential buildings in 2021, the most significant increase in the cost of construction materials should be taken into account in the amount of 14.7-14.8%, while the increase in wages is estimated at 6.9-7.0%.</w:t>
      </w:r>
    </w:p>
    <w:p w14:paraId="18941385" w14:textId="77777777" w:rsidR="00ED7ECC" w:rsidRPr="007504E6" w:rsidRDefault="00ED7ECC" w:rsidP="00ED7ECC">
      <w:pPr>
        <w:pStyle w:val="Sarakstarindkopa"/>
        <w:spacing w:line="240" w:lineRule="auto"/>
        <w:ind w:left="360" w:firstLine="0"/>
        <w:rPr>
          <w:rFonts w:ascii="Times New Roman" w:hAnsi="Times New Roman" w:cs="Times New Roman"/>
          <w:lang w:val="en-GB"/>
        </w:rPr>
      </w:pPr>
    </w:p>
    <w:p w14:paraId="03BD87AC" w14:textId="08175736" w:rsidR="00ED7ECC" w:rsidRPr="007504E6" w:rsidRDefault="00ED7ECC" w:rsidP="00ED7ECC">
      <w:pPr>
        <w:pStyle w:val="Sarakstarindkopa"/>
        <w:numPr>
          <w:ilvl w:val="0"/>
          <w:numId w:val="25"/>
        </w:numPr>
        <w:spacing w:line="240" w:lineRule="auto"/>
        <w:rPr>
          <w:rFonts w:ascii="Times New Roman" w:hAnsi="Times New Roman" w:cs="Times New Roman"/>
          <w:lang w:val="en-GB"/>
        </w:rPr>
      </w:pPr>
      <w:r w:rsidRPr="007504E6">
        <w:rPr>
          <w:rFonts w:ascii="Times New Roman" w:hAnsi="Times New Roman" w:cs="Times New Roman"/>
          <w:lang w:val="en-GB"/>
        </w:rPr>
        <w:t>A significant increase in the costs of construction of transport facilities in 2021 is forecasted for both construction materials (10%) and maintenance and operation of machinery and equipment (10%), while an increase in wages is estimated at 8.0%, followed closely by architectural and other services with 7.83% increase. This sector is characterized by specific forecasts that the costs of services alone will grow faster and faster and in 2023-2025. could increase by 9.6% on average per year.</w:t>
      </w:r>
    </w:p>
    <w:p w14:paraId="190A875C" w14:textId="77777777" w:rsidR="00ED7ECC" w:rsidRPr="007504E6" w:rsidRDefault="00ED7ECC" w:rsidP="00ED7ECC">
      <w:pPr>
        <w:pStyle w:val="Sarakstarindkopa"/>
        <w:spacing w:line="240" w:lineRule="auto"/>
        <w:ind w:left="360" w:firstLine="0"/>
        <w:rPr>
          <w:rFonts w:ascii="Times New Roman" w:hAnsi="Times New Roman" w:cs="Times New Roman"/>
          <w:lang w:val="en-GB"/>
        </w:rPr>
      </w:pPr>
    </w:p>
    <w:p w14:paraId="43F79EE7" w14:textId="30C45389" w:rsidR="00ED7ECC" w:rsidRPr="007504E6" w:rsidRDefault="00ED7ECC" w:rsidP="00ED7ECC">
      <w:pPr>
        <w:pStyle w:val="Sarakstarindkopa"/>
        <w:numPr>
          <w:ilvl w:val="0"/>
          <w:numId w:val="25"/>
        </w:numPr>
        <w:spacing w:line="240" w:lineRule="auto"/>
        <w:rPr>
          <w:rFonts w:ascii="Times New Roman" w:hAnsi="Times New Roman" w:cs="Times New Roman"/>
          <w:lang w:val="en-GB"/>
        </w:rPr>
      </w:pPr>
      <w:r w:rsidRPr="007504E6">
        <w:rPr>
          <w:rFonts w:ascii="Times New Roman" w:hAnsi="Times New Roman" w:cs="Times New Roman"/>
          <w:lang w:val="en-GB"/>
        </w:rPr>
        <w:t>The largest increase in the construction of urban infrastructure objects is also forecasted for construction materials with 15.3% in 2021, with other types of resources growing less - workers' wages by 7.6%, machinery and equipment expenditure by 6.6% and service expenditure by 7, 7%.</w:t>
      </w:r>
    </w:p>
    <w:p w14:paraId="0D97CC87" w14:textId="77777777" w:rsidR="00ED7ECC" w:rsidRPr="007504E6" w:rsidRDefault="00ED7ECC" w:rsidP="00ED7ECC">
      <w:pPr>
        <w:pStyle w:val="Sarakstarindkopa"/>
        <w:spacing w:line="240" w:lineRule="auto"/>
        <w:ind w:left="360" w:firstLine="0"/>
        <w:rPr>
          <w:rFonts w:ascii="Times New Roman" w:hAnsi="Times New Roman" w:cs="Times New Roman"/>
          <w:lang w:val="en-GB"/>
        </w:rPr>
      </w:pPr>
    </w:p>
    <w:p w14:paraId="005E5786" w14:textId="61A43775" w:rsidR="00BB37C1" w:rsidRPr="007504E6" w:rsidRDefault="00ED7ECC" w:rsidP="00ED7ECC">
      <w:pPr>
        <w:pStyle w:val="Sarakstarindkopa"/>
        <w:numPr>
          <w:ilvl w:val="0"/>
          <w:numId w:val="25"/>
        </w:numPr>
        <w:spacing w:line="240" w:lineRule="auto"/>
        <w:rPr>
          <w:rFonts w:ascii="Times New Roman" w:hAnsi="Times New Roman" w:cs="Times New Roman"/>
          <w:lang w:val="en-GB"/>
        </w:rPr>
      </w:pPr>
      <w:r w:rsidRPr="007504E6">
        <w:rPr>
          <w:rFonts w:ascii="Times New Roman" w:hAnsi="Times New Roman" w:cs="Times New Roman"/>
          <w:lang w:val="en-GB"/>
        </w:rPr>
        <w:t>In the sub-sector of specialized construction works, the increase of construction material costs in 2021 is forecasted in the amount of 15.83%, while the increase of wage costs is estimated as the smallest of the types of resources - 5.1%</w:t>
      </w:r>
      <w:r w:rsidR="00BB37C1" w:rsidRPr="007504E6">
        <w:rPr>
          <w:rFonts w:ascii="Times New Roman" w:hAnsi="Times New Roman" w:cs="Times New Roman"/>
          <w:lang w:val="en-GB"/>
        </w:rPr>
        <w:t>.</w:t>
      </w:r>
    </w:p>
    <w:p w14:paraId="3E505CDD" w14:textId="77777777" w:rsidR="00BB37C1" w:rsidRPr="007504E6" w:rsidRDefault="00BB37C1" w:rsidP="00BB37C1">
      <w:pPr>
        <w:spacing w:line="240" w:lineRule="auto"/>
        <w:ind w:firstLine="0"/>
        <w:rPr>
          <w:rFonts w:ascii="Times New Roman" w:hAnsi="Times New Roman" w:cs="Times New Roman"/>
          <w:lang w:val="en-GB"/>
        </w:rPr>
      </w:pPr>
    </w:p>
    <w:p w14:paraId="2C075212" w14:textId="77777777" w:rsidR="00BB37C1" w:rsidRPr="007504E6" w:rsidRDefault="00BB37C1" w:rsidP="00BB37C1">
      <w:pPr>
        <w:spacing w:line="240" w:lineRule="auto"/>
        <w:ind w:firstLine="0"/>
        <w:rPr>
          <w:rFonts w:ascii="Times New Roman" w:hAnsi="Times New Roman" w:cs="Times New Roman"/>
          <w:b/>
          <w:bCs/>
          <w:lang w:val="en-GB"/>
        </w:rPr>
      </w:pPr>
    </w:p>
    <w:p w14:paraId="2FE43EDA" w14:textId="4548BC94" w:rsidR="00BB37C1" w:rsidRPr="007504E6" w:rsidRDefault="00BB37C1" w:rsidP="00BB37C1">
      <w:pPr>
        <w:spacing w:line="240" w:lineRule="auto"/>
        <w:ind w:firstLine="0"/>
        <w:rPr>
          <w:rFonts w:ascii="Times New Roman" w:hAnsi="Times New Roman" w:cs="Times New Roman"/>
          <w:b/>
          <w:bCs/>
          <w:lang w:val="en-GB"/>
        </w:rPr>
      </w:pPr>
      <w:r w:rsidRPr="007504E6">
        <w:rPr>
          <w:rFonts w:ascii="Times New Roman" w:hAnsi="Times New Roman" w:cs="Times New Roman"/>
          <w:b/>
          <w:bCs/>
          <w:noProof/>
          <w:lang w:val="en-GB"/>
        </w:rPr>
        <w:drawing>
          <wp:anchor distT="0" distB="0" distL="114300" distR="114300" simplePos="0" relativeHeight="251767808" behindDoc="0" locked="0" layoutInCell="1" allowOverlap="1" wp14:anchorId="7727378D" wp14:editId="368B0D24">
            <wp:simplePos x="0" y="0"/>
            <wp:positionH relativeFrom="margin">
              <wp:posOffset>-497393</wp:posOffset>
            </wp:positionH>
            <wp:positionV relativeFrom="paragraph">
              <wp:posOffset>89563</wp:posOffset>
            </wp:positionV>
            <wp:extent cx="2819400" cy="328295"/>
            <wp:effectExtent l="0" t="0" r="0" b="0"/>
            <wp:wrapNone/>
            <wp:docPr id="206" name="Graphic 206" descr="A brush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A brushstroke"/>
                    <pic:cNvPicPr/>
                  </pic:nvPicPr>
                  <pic:blipFill rotWithShape="1">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rcRect t="39070" b="41624"/>
                    <a:stretch/>
                  </pic:blipFill>
                  <pic:spPr bwMode="auto">
                    <a:xfrm>
                      <a:off x="0" y="0"/>
                      <a:ext cx="2819400" cy="328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279A" w:rsidRPr="007504E6">
        <w:rPr>
          <w:lang w:val="en-GB"/>
        </w:rPr>
        <w:t xml:space="preserve"> </w:t>
      </w:r>
      <w:r w:rsidR="009C279A" w:rsidRPr="007504E6">
        <w:rPr>
          <w:rFonts w:ascii="Times New Roman" w:hAnsi="Times New Roman" w:cs="Times New Roman"/>
          <w:b/>
          <w:bCs/>
          <w:lang w:val="en-GB"/>
        </w:rPr>
        <w:t>FORECASTS OF CHANGES IN BUILDING COSTS</w:t>
      </w:r>
    </w:p>
    <w:p w14:paraId="624C0184" w14:textId="77777777" w:rsidR="00BB37C1" w:rsidRPr="007504E6" w:rsidRDefault="00BB37C1" w:rsidP="00BB37C1">
      <w:pPr>
        <w:spacing w:line="240" w:lineRule="auto"/>
        <w:ind w:firstLine="0"/>
        <w:rPr>
          <w:rFonts w:ascii="Times New Roman" w:hAnsi="Times New Roman" w:cs="Times New Roman"/>
          <w:lang w:val="en-GB"/>
        </w:rPr>
      </w:pPr>
    </w:p>
    <w:p w14:paraId="18E31A5E" w14:textId="77777777" w:rsidR="00BB37C1" w:rsidRPr="007504E6" w:rsidRDefault="00BB37C1" w:rsidP="00BB37C1">
      <w:pPr>
        <w:spacing w:line="240" w:lineRule="auto"/>
        <w:ind w:firstLine="0"/>
        <w:rPr>
          <w:rFonts w:ascii="Times New Roman" w:hAnsi="Times New Roman" w:cs="Times New Roman"/>
          <w:lang w:val="en-GB"/>
        </w:rPr>
      </w:pPr>
    </w:p>
    <w:p w14:paraId="5B7753D3" w14:textId="48B017C8" w:rsidR="00BB37C1" w:rsidRPr="007504E6" w:rsidRDefault="009C279A" w:rsidP="00BB37C1">
      <w:pPr>
        <w:spacing w:line="240" w:lineRule="auto"/>
        <w:ind w:firstLine="0"/>
        <w:rPr>
          <w:rFonts w:ascii="Times New Roman" w:hAnsi="Times New Roman" w:cs="Times New Roman"/>
          <w:lang w:val="en-GB"/>
        </w:rPr>
      </w:pPr>
      <w:r w:rsidRPr="007504E6">
        <w:rPr>
          <w:rFonts w:ascii="Times New Roman" w:hAnsi="Times New Roman" w:cs="Times New Roman"/>
          <w:lang w:val="en-GB"/>
        </w:rPr>
        <w:t>The novelty of the current research is the attraction of experts from the trade industry to assess the development trends of construction material costs</w:t>
      </w:r>
      <w:r w:rsidR="00BB37C1" w:rsidRPr="007504E6">
        <w:rPr>
          <w:rFonts w:ascii="Times New Roman" w:hAnsi="Times New Roman" w:cs="Times New Roman"/>
          <w:lang w:val="en-GB"/>
        </w:rPr>
        <w:t>.</w:t>
      </w:r>
    </w:p>
    <w:p w14:paraId="0BD7B107" w14:textId="77777777" w:rsidR="00BB37C1" w:rsidRPr="007504E6" w:rsidRDefault="00BB37C1" w:rsidP="00BB37C1">
      <w:pPr>
        <w:spacing w:line="240" w:lineRule="auto"/>
        <w:rPr>
          <w:rFonts w:ascii="Times New Roman" w:hAnsi="Times New Roman" w:cs="Times New Roman"/>
          <w:lang w:val="en-GB"/>
        </w:rPr>
      </w:pPr>
    </w:p>
    <w:p w14:paraId="028CDDBA" w14:textId="2A3AA1F8" w:rsidR="009C279A" w:rsidRPr="007504E6" w:rsidRDefault="009C279A" w:rsidP="009C279A">
      <w:pPr>
        <w:pStyle w:val="Sarakstarindkopa"/>
        <w:numPr>
          <w:ilvl w:val="0"/>
          <w:numId w:val="25"/>
        </w:numPr>
        <w:spacing w:line="240" w:lineRule="auto"/>
        <w:rPr>
          <w:rFonts w:ascii="Times New Roman" w:hAnsi="Times New Roman" w:cs="Times New Roman"/>
          <w:lang w:val="en-GB"/>
        </w:rPr>
      </w:pPr>
      <w:r w:rsidRPr="007504E6">
        <w:rPr>
          <w:rFonts w:ascii="Times New Roman" w:hAnsi="Times New Roman" w:cs="Times New Roman"/>
          <w:lang w:val="en-GB"/>
        </w:rPr>
        <w:t>The most significant increase in the cost of basic building materials in 2021 is forecasted for timber in the amount of 30.0%, which in the period 2022-2025. year could average 5.3% per year. The second most significant growth in 2021 is forecast for metal products at 24.3%, which is estimated at an average annual growth of 6.7% over the next four years.</w:t>
      </w:r>
    </w:p>
    <w:p w14:paraId="7122C93D" w14:textId="77777777" w:rsidR="009C279A" w:rsidRPr="007504E6" w:rsidRDefault="009C279A" w:rsidP="009C279A">
      <w:pPr>
        <w:pStyle w:val="Sarakstarindkopa"/>
        <w:spacing w:line="240" w:lineRule="auto"/>
        <w:ind w:left="360" w:firstLine="0"/>
        <w:rPr>
          <w:rFonts w:ascii="Times New Roman" w:hAnsi="Times New Roman" w:cs="Times New Roman"/>
          <w:lang w:val="en-GB"/>
        </w:rPr>
      </w:pPr>
    </w:p>
    <w:p w14:paraId="5E8F0A7E" w14:textId="45542B4F" w:rsidR="009C279A" w:rsidRPr="007504E6" w:rsidRDefault="009C279A" w:rsidP="009C279A">
      <w:pPr>
        <w:pStyle w:val="Sarakstarindkopa"/>
        <w:numPr>
          <w:ilvl w:val="0"/>
          <w:numId w:val="25"/>
        </w:numPr>
        <w:spacing w:line="240" w:lineRule="auto"/>
        <w:rPr>
          <w:rFonts w:ascii="Times New Roman" w:hAnsi="Times New Roman" w:cs="Times New Roman"/>
          <w:lang w:val="en-GB"/>
        </w:rPr>
      </w:pPr>
      <w:r w:rsidRPr="007504E6">
        <w:rPr>
          <w:rFonts w:ascii="Times New Roman" w:hAnsi="Times New Roman" w:cs="Times New Roman"/>
          <w:lang w:val="en-GB"/>
        </w:rPr>
        <w:t>In the category of finishing materials (external, internal, other), the most significant increase in costs in 2021 is forecasted for interior finishing materials in the average amount of 11.0%, which in the next four years is estimated at 6.3% on average.</w:t>
      </w:r>
    </w:p>
    <w:p w14:paraId="309272BE" w14:textId="77777777" w:rsidR="009C279A" w:rsidRPr="007504E6" w:rsidRDefault="009C279A" w:rsidP="009C279A">
      <w:pPr>
        <w:pStyle w:val="Sarakstarindkopa"/>
        <w:spacing w:line="240" w:lineRule="auto"/>
        <w:ind w:left="360" w:firstLine="0"/>
        <w:rPr>
          <w:rFonts w:ascii="Times New Roman" w:hAnsi="Times New Roman" w:cs="Times New Roman"/>
          <w:lang w:val="en-GB"/>
        </w:rPr>
      </w:pPr>
    </w:p>
    <w:p w14:paraId="7D48BD3C" w14:textId="1078ED22" w:rsidR="009C279A" w:rsidRPr="007504E6" w:rsidRDefault="009C279A" w:rsidP="009C279A">
      <w:pPr>
        <w:pStyle w:val="Sarakstarindkopa"/>
        <w:numPr>
          <w:ilvl w:val="0"/>
          <w:numId w:val="25"/>
        </w:numPr>
        <w:spacing w:line="240" w:lineRule="auto"/>
        <w:rPr>
          <w:rFonts w:ascii="Times New Roman" w:hAnsi="Times New Roman" w:cs="Times New Roman"/>
          <w:lang w:val="en-GB"/>
        </w:rPr>
      </w:pPr>
      <w:r w:rsidRPr="007504E6">
        <w:rPr>
          <w:rFonts w:ascii="Times New Roman" w:hAnsi="Times New Roman" w:cs="Times New Roman"/>
          <w:lang w:val="en-GB"/>
        </w:rPr>
        <w:t>In the category of main system installations, the most significant increase in costs in 2021 is forecasted for electricity systems in the amount of 16.0%, which could significantly stabilize and grow by 3.3% per year on average by 2025. In other positions, cost increases are expected to be below 8% per year.</w:t>
      </w:r>
    </w:p>
    <w:p w14:paraId="6A909B4F" w14:textId="77777777" w:rsidR="009C279A" w:rsidRPr="007504E6" w:rsidRDefault="009C279A" w:rsidP="009C279A">
      <w:pPr>
        <w:pStyle w:val="Sarakstarindkopa"/>
        <w:spacing w:line="240" w:lineRule="auto"/>
        <w:ind w:left="360" w:firstLine="0"/>
        <w:rPr>
          <w:rFonts w:ascii="Times New Roman" w:hAnsi="Times New Roman" w:cs="Times New Roman"/>
          <w:lang w:val="en-GB"/>
        </w:rPr>
      </w:pPr>
    </w:p>
    <w:p w14:paraId="4601ACC0" w14:textId="6A29E34A" w:rsidR="00BB37C1" w:rsidRDefault="009C279A" w:rsidP="004D0739">
      <w:pPr>
        <w:pStyle w:val="Sarakstarindkopa"/>
        <w:numPr>
          <w:ilvl w:val="0"/>
          <w:numId w:val="25"/>
        </w:numPr>
        <w:spacing w:line="240" w:lineRule="auto"/>
        <w:rPr>
          <w:rFonts w:ascii="Times New Roman" w:hAnsi="Times New Roman" w:cs="Times New Roman"/>
          <w:lang w:val="en-GB"/>
        </w:rPr>
      </w:pPr>
      <w:r w:rsidRPr="007504E6">
        <w:rPr>
          <w:rFonts w:ascii="Times New Roman" w:hAnsi="Times New Roman" w:cs="Times New Roman"/>
          <w:lang w:val="en-GB"/>
        </w:rPr>
        <w:t>According to trade experts, the largest share of construction materials is cement, concrete, aggregates, sand, gravel and other materials in the amount of 21.0%, followed by metal products in the amount of 17.3% and finishing materials in the amount of 16.0%.</w:t>
      </w:r>
    </w:p>
    <w:p w14:paraId="26D50049" w14:textId="77777777" w:rsidR="006369E8" w:rsidRPr="006369E8" w:rsidRDefault="006369E8" w:rsidP="006369E8">
      <w:pPr>
        <w:pStyle w:val="Sarakstarindkopa"/>
        <w:rPr>
          <w:rFonts w:ascii="Times New Roman" w:hAnsi="Times New Roman" w:cs="Times New Roman"/>
          <w:lang w:val="en-GB"/>
        </w:rPr>
      </w:pPr>
    </w:p>
    <w:p w14:paraId="6401743C" w14:textId="77777777" w:rsidR="006369E8" w:rsidRPr="004D0739" w:rsidRDefault="006369E8" w:rsidP="006369E8">
      <w:pPr>
        <w:pStyle w:val="Sarakstarindkopa"/>
        <w:spacing w:line="240" w:lineRule="auto"/>
        <w:ind w:left="360" w:firstLine="0"/>
        <w:rPr>
          <w:rFonts w:ascii="Times New Roman" w:hAnsi="Times New Roman" w:cs="Times New Roman"/>
          <w:lang w:val="en-GB"/>
        </w:rPr>
      </w:pPr>
    </w:p>
    <w:p w14:paraId="494D179E" w14:textId="6F443C92" w:rsidR="00BB37C1" w:rsidRPr="007504E6" w:rsidRDefault="00BB37C1" w:rsidP="00BB37C1">
      <w:pPr>
        <w:spacing w:line="240" w:lineRule="auto"/>
        <w:ind w:firstLine="0"/>
        <w:rPr>
          <w:rFonts w:ascii="Times New Roman" w:hAnsi="Times New Roman" w:cs="Times New Roman"/>
          <w:b/>
          <w:bCs/>
          <w:lang w:val="en-GB"/>
        </w:rPr>
      </w:pPr>
      <w:r w:rsidRPr="007504E6">
        <w:rPr>
          <w:rFonts w:ascii="Times New Roman" w:hAnsi="Times New Roman" w:cs="Times New Roman"/>
          <w:b/>
          <w:bCs/>
          <w:noProof/>
          <w:lang w:val="en-GB"/>
        </w:rPr>
        <w:drawing>
          <wp:anchor distT="0" distB="0" distL="114300" distR="114300" simplePos="0" relativeHeight="251768832" behindDoc="0" locked="0" layoutInCell="1" allowOverlap="1" wp14:anchorId="0F83EDBB" wp14:editId="5343D5A1">
            <wp:simplePos x="0" y="0"/>
            <wp:positionH relativeFrom="margin">
              <wp:posOffset>-617973</wp:posOffset>
            </wp:positionH>
            <wp:positionV relativeFrom="paragraph">
              <wp:posOffset>94706</wp:posOffset>
            </wp:positionV>
            <wp:extent cx="2819400" cy="328295"/>
            <wp:effectExtent l="0" t="0" r="0" b="0"/>
            <wp:wrapNone/>
            <wp:docPr id="207" name="Graphic 207" descr="A brush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A brushstroke"/>
                    <pic:cNvPicPr/>
                  </pic:nvPicPr>
                  <pic:blipFill rotWithShape="1">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rcRect t="39070" b="41624"/>
                    <a:stretch/>
                  </pic:blipFill>
                  <pic:spPr bwMode="auto">
                    <a:xfrm>
                      <a:off x="0" y="0"/>
                      <a:ext cx="2819400" cy="328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1FB8" w:rsidRPr="007504E6">
        <w:rPr>
          <w:lang w:val="en-GB"/>
        </w:rPr>
        <w:t xml:space="preserve"> </w:t>
      </w:r>
      <w:r w:rsidR="004C1FB8" w:rsidRPr="007504E6">
        <w:rPr>
          <w:rFonts w:ascii="Times New Roman" w:hAnsi="Times New Roman" w:cs="Times New Roman"/>
          <w:b/>
          <w:bCs/>
          <w:lang w:val="en-GB"/>
        </w:rPr>
        <w:t>SPECIFIC IMPACTS</w:t>
      </w:r>
    </w:p>
    <w:p w14:paraId="2D8FE862" w14:textId="77777777" w:rsidR="00BB37C1" w:rsidRPr="007504E6" w:rsidRDefault="00BB37C1" w:rsidP="00BB37C1">
      <w:pPr>
        <w:spacing w:line="240" w:lineRule="auto"/>
        <w:ind w:firstLine="0"/>
        <w:rPr>
          <w:rFonts w:ascii="Times New Roman" w:hAnsi="Times New Roman" w:cs="Times New Roman"/>
          <w:b/>
          <w:bCs/>
          <w:lang w:val="en-GB"/>
        </w:rPr>
      </w:pPr>
    </w:p>
    <w:p w14:paraId="04D2C53B" w14:textId="77777777" w:rsidR="00BB37C1" w:rsidRPr="007504E6" w:rsidRDefault="00BB37C1" w:rsidP="00BB37C1">
      <w:pPr>
        <w:spacing w:line="240" w:lineRule="auto"/>
        <w:ind w:firstLine="0"/>
        <w:rPr>
          <w:rFonts w:ascii="Times New Roman" w:hAnsi="Times New Roman" w:cs="Times New Roman"/>
          <w:lang w:val="en-GB"/>
        </w:rPr>
      </w:pPr>
    </w:p>
    <w:p w14:paraId="24E522CE" w14:textId="70AA1F2A" w:rsidR="00BB37C1" w:rsidRPr="007504E6" w:rsidRDefault="004C1FB8" w:rsidP="00BB37C1">
      <w:pPr>
        <w:spacing w:line="240" w:lineRule="auto"/>
        <w:ind w:firstLine="0"/>
        <w:rPr>
          <w:rFonts w:ascii="Times New Roman" w:hAnsi="Times New Roman" w:cs="Times New Roman"/>
          <w:lang w:val="en-GB"/>
        </w:rPr>
      </w:pPr>
      <w:r w:rsidRPr="007504E6">
        <w:rPr>
          <w:rFonts w:ascii="Times New Roman" w:hAnsi="Times New Roman" w:cs="Times New Roman"/>
          <w:lang w:val="en-GB"/>
        </w:rPr>
        <w:t>Specific factors affecting the construction sector include measures to combat the shadow economy and the COVID-19 pandemic and the overall impact of related measures on the construction sector</w:t>
      </w:r>
      <w:r w:rsidR="00BB37C1" w:rsidRPr="007504E6">
        <w:rPr>
          <w:rFonts w:ascii="Times New Roman" w:hAnsi="Times New Roman" w:cs="Times New Roman"/>
          <w:lang w:val="en-GB"/>
        </w:rPr>
        <w:t>.</w:t>
      </w:r>
    </w:p>
    <w:p w14:paraId="0574FF6C" w14:textId="77777777" w:rsidR="00BB37C1" w:rsidRPr="007504E6" w:rsidRDefault="00BB37C1" w:rsidP="00BB37C1">
      <w:pPr>
        <w:spacing w:line="240" w:lineRule="auto"/>
        <w:rPr>
          <w:rFonts w:ascii="Times New Roman" w:hAnsi="Times New Roman" w:cs="Times New Roman"/>
          <w:lang w:val="en-GB"/>
        </w:rPr>
      </w:pPr>
    </w:p>
    <w:p w14:paraId="3BB0793A" w14:textId="79A22567" w:rsidR="004C1FB8" w:rsidRPr="007504E6" w:rsidRDefault="004C1FB8" w:rsidP="004C1FB8">
      <w:pPr>
        <w:pStyle w:val="Sarakstarindkopa"/>
        <w:numPr>
          <w:ilvl w:val="0"/>
          <w:numId w:val="25"/>
        </w:numPr>
        <w:spacing w:line="240" w:lineRule="auto"/>
        <w:rPr>
          <w:rFonts w:ascii="Times New Roman" w:hAnsi="Times New Roman" w:cs="Times New Roman"/>
          <w:lang w:val="en-GB"/>
        </w:rPr>
      </w:pPr>
      <w:r w:rsidRPr="007504E6">
        <w:rPr>
          <w:rFonts w:ascii="Times New Roman" w:hAnsi="Times New Roman" w:cs="Times New Roman"/>
          <w:lang w:val="en-GB"/>
        </w:rPr>
        <w:t xml:space="preserve">Measures to combat the shadow economy have a mediocre impact on </w:t>
      </w:r>
      <w:proofErr w:type="spellStart"/>
      <w:r w:rsidRPr="007504E6">
        <w:rPr>
          <w:rFonts w:ascii="Times New Roman" w:hAnsi="Times New Roman" w:cs="Times New Roman"/>
          <w:lang w:val="en-GB"/>
        </w:rPr>
        <w:t>labor</w:t>
      </w:r>
      <w:proofErr w:type="spellEnd"/>
      <w:r w:rsidRPr="007504E6">
        <w:rPr>
          <w:rFonts w:ascii="Times New Roman" w:hAnsi="Times New Roman" w:cs="Times New Roman"/>
          <w:lang w:val="en-GB"/>
        </w:rPr>
        <w:t xml:space="preserve"> costs, with the introduction of an electronic time-recording system and the setting of a minimum wage in the construction sector having the greatest impact.</w:t>
      </w:r>
    </w:p>
    <w:p w14:paraId="7C277C16" w14:textId="77777777" w:rsidR="004C1FB8" w:rsidRPr="007504E6" w:rsidRDefault="004C1FB8" w:rsidP="004C1FB8">
      <w:pPr>
        <w:pStyle w:val="Sarakstarindkopa"/>
        <w:spacing w:line="240" w:lineRule="auto"/>
        <w:ind w:left="360" w:firstLine="0"/>
        <w:rPr>
          <w:rFonts w:ascii="Times New Roman" w:hAnsi="Times New Roman" w:cs="Times New Roman"/>
          <w:lang w:val="en-GB"/>
        </w:rPr>
      </w:pPr>
    </w:p>
    <w:p w14:paraId="11D045EA" w14:textId="03626F88" w:rsidR="004C1FB8" w:rsidRPr="007504E6" w:rsidRDefault="004C1FB8" w:rsidP="004C1FB8">
      <w:pPr>
        <w:pStyle w:val="Sarakstarindkopa"/>
        <w:numPr>
          <w:ilvl w:val="0"/>
          <w:numId w:val="25"/>
        </w:numPr>
        <w:spacing w:line="240" w:lineRule="auto"/>
        <w:rPr>
          <w:rFonts w:ascii="Times New Roman" w:hAnsi="Times New Roman" w:cs="Times New Roman"/>
          <w:lang w:val="en-GB"/>
        </w:rPr>
      </w:pPr>
      <w:r w:rsidRPr="007504E6">
        <w:rPr>
          <w:rFonts w:ascii="Times New Roman" w:hAnsi="Times New Roman" w:cs="Times New Roman"/>
          <w:lang w:val="en-GB"/>
        </w:rPr>
        <w:t>Measures to combat the shadow economy have a negligible effect on the cost of building materials.</w:t>
      </w:r>
    </w:p>
    <w:p w14:paraId="7E16E776" w14:textId="77777777" w:rsidR="004C1FB8" w:rsidRPr="007504E6" w:rsidRDefault="004C1FB8" w:rsidP="004C1FB8">
      <w:pPr>
        <w:pStyle w:val="Sarakstarindkopa"/>
        <w:spacing w:line="240" w:lineRule="auto"/>
        <w:ind w:left="360" w:firstLine="0"/>
        <w:rPr>
          <w:rFonts w:ascii="Times New Roman" w:hAnsi="Times New Roman" w:cs="Times New Roman"/>
          <w:lang w:val="en-GB"/>
        </w:rPr>
      </w:pPr>
    </w:p>
    <w:p w14:paraId="4FBAA8AE" w14:textId="51AED415" w:rsidR="004C1FB8" w:rsidRPr="007504E6" w:rsidRDefault="004C1FB8" w:rsidP="004C1FB8">
      <w:pPr>
        <w:pStyle w:val="Sarakstarindkopa"/>
        <w:numPr>
          <w:ilvl w:val="0"/>
          <w:numId w:val="25"/>
        </w:numPr>
        <w:spacing w:line="240" w:lineRule="auto"/>
        <w:rPr>
          <w:rFonts w:ascii="Times New Roman" w:hAnsi="Times New Roman" w:cs="Times New Roman"/>
          <w:lang w:val="en-GB"/>
        </w:rPr>
      </w:pPr>
      <w:r w:rsidRPr="007504E6">
        <w:rPr>
          <w:rFonts w:ascii="Times New Roman" w:hAnsi="Times New Roman" w:cs="Times New Roman"/>
          <w:lang w:val="en-GB"/>
        </w:rPr>
        <w:t xml:space="preserve">COVID-19 has had a mediocre impact on construction material costs, but the impact on </w:t>
      </w:r>
      <w:proofErr w:type="spellStart"/>
      <w:r w:rsidRPr="007504E6">
        <w:rPr>
          <w:rFonts w:ascii="Times New Roman" w:hAnsi="Times New Roman" w:cs="Times New Roman"/>
          <w:lang w:val="en-GB"/>
        </w:rPr>
        <w:t>labor</w:t>
      </w:r>
      <w:proofErr w:type="spellEnd"/>
      <w:r w:rsidRPr="007504E6">
        <w:rPr>
          <w:rFonts w:ascii="Times New Roman" w:hAnsi="Times New Roman" w:cs="Times New Roman"/>
          <w:lang w:val="en-GB"/>
        </w:rPr>
        <w:t xml:space="preserve"> costs is almost weak.</w:t>
      </w:r>
    </w:p>
    <w:p w14:paraId="46E5FD24" w14:textId="77777777" w:rsidR="004C1FB8" w:rsidRPr="007504E6" w:rsidRDefault="004C1FB8" w:rsidP="004C1FB8">
      <w:pPr>
        <w:pStyle w:val="Sarakstarindkopa"/>
        <w:spacing w:line="240" w:lineRule="auto"/>
        <w:ind w:left="360" w:firstLine="0"/>
        <w:rPr>
          <w:rFonts w:ascii="Times New Roman" w:hAnsi="Times New Roman" w:cs="Times New Roman"/>
          <w:lang w:val="en-GB"/>
        </w:rPr>
      </w:pPr>
    </w:p>
    <w:p w14:paraId="1E145F3C" w14:textId="08CDECFD" w:rsidR="00BB37C1" w:rsidRPr="007504E6" w:rsidRDefault="004C1FB8" w:rsidP="004C1FB8">
      <w:pPr>
        <w:pStyle w:val="Sarakstarindkopa"/>
        <w:numPr>
          <w:ilvl w:val="0"/>
          <w:numId w:val="25"/>
        </w:numPr>
        <w:spacing w:line="240" w:lineRule="auto"/>
        <w:rPr>
          <w:rFonts w:ascii="Times New Roman" w:hAnsi="Times New Roman" w:cs="Times New Roman"/>
          <w:lang w:val="en-GB"/>
        </w:rPr>
      </w:pPr>
      <w:r w:rsidRPr="007504E6">
        <w:rPr>
          <w:rFonts w:ascii="Times New Roman" w:hAnsi="Times New Roman" w:cs="Times New Roman"/>
          <w:lang w:val="en-GB"/>
        </w:rPr>
        <w:t xml:space="preserve">COVID-19 had a greater impact on the cost of construction materials than on wages. The greatest impact of COVID-19 on the cost of building materials is seen by the building construction sub-sector, while the greatest impact on </w:t>
      </w:r>
      <w:proofErr w:type="spellStart"/>
      <w:r w:rsidRPr="007504E6">
        <w:rPr>
          <w:rFonts w:ascii="Times New Roman" w:hAnsi="Times New Roman" w:cs="Times New Roman"/>
          <w:lang w:val="en-GB"/>
        </w:rPr>
        <w:t>labor</w:t>
      </w:r>
      <w:proofErr w:type="spellEnd"/>
      <w:r w:rsidRPr="007504E6">
        <w:rPr>
          <w:rFonts w:ascii="Times New Roman" w:hAnsi="Times New Roman" w:cs="Times New Roman"/>
          <w:lang w:val="en-GB"/>
        </w:rPr>
        <w:t xml:space="preserve"> costs is seen by experts in the building materials </w:t>
      </w:r>
      <w:r w:rsidR="006369E8" w:rsidRPr="007504E6">
        <w:rPr>
          <w:rFonts w:ascii="Times New Roman" w:hAnsi="Times New Roman" w:cs="Times New Roman"/>
          <w:lang w:val="en-GB"/>
        </w:rPr>
        <w:t>trade.</w:t>
      </w:r>
    </w:p>
    <w:bookmarkEnd w:id="23"/>
    <w:p w14:paraId="0E963314" w14:textId="77777777" w:rsidR="00BB37C1" w:rsidRPr="007504E6" w:rsidRDefault="00BB37C1" w:rsidP="00BB37C1">
      <w:pPr>
        <w:pStyle w:val="Sarakstarindkopa"/>
        <w:rPr>
          <w:rFonts w:ascii="Times New Roman" w:hAnsi="Times New Roman" w:cs="Times New Roman"/>
          <w:lang w:val="en-GB"/>
        </w:rPr>
      </w:pPr>
      <w:r w:rsidRPr="007504E6">
        <w:rPr>
          <w:rFonts w:ascii="Times New Roman" w:hAnsi="Times New Roman" w:cs="Times New Roman"/>
          <w:noProof/>
          <w:lang w:val="en-GB"/>
        </w:rPr>
        <w:drawing>
          <wp:anchor distT="0" distB="0" distL="114300" distR="114300" simplePos="0" relativeHeight="251770880" behindDoc="0" locked="0" layoutInCell="1" allowOverlap="1" wp14:anchorId="6C677241" wp14:editId="57970F9D">
            <wp:simplePos x="0" y="0"/>
            <wp:positionH relativeFrom="column">
              <wp:posOffset>-652797</wp:posOffset>
            </wp:positionH>
            <wp:positionV relativeFrom="paragraph">
              <wp:posOffset>14729</wp:posOffset>
            </wp:positionV>
            <wp:extent cx="1790172" cy="1790172"/>
            <wp:effectExtent l="0" t="0" r="0" b="0"/>
            <wp:wrapNone/>
            <wp:docPr id="59" name="Graphic 59" descr="One solid circle, one ring, and one circle filled with diagon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descr="One solid circle, one ring, and one circle filled with diagonal lines"/>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90172" cy="1790172"/>
                    </a:xfrm>
                    <a:prstGeom prst="rect">
                      <a:avLst/>
                    </a:prstGeom>
                  </pic:spPr>
                </pic:pic>
              </a:graphicData>
            </a:graphic>
            <wp14:sizeRelH relativeFrom="margin">
              <wp14:pctWidth>0</wp14:pctWidth>
            </wp14:sizeRelH>
            <wp14:sizeRelV relativeFrom="margin">
              <wp14:pctHeight>0</wp14:pctHeight>
            </wp14:sizeRelV>
          </wp:anchor>
        </w:drawing>
      </w:r>
    </w:p>
    <w:p w14:paraId="3332352C" w14:textId="77777777" w:rsidR="00BB37C1" w:rsidRPr="007504E6" w:rsidRDefault="00BB37C1" w:rsidP="00BB37C1">
      <w:pPr>
        <w:pStyle w:val="Sarakstarindkopa"/>
        <w:spacing w:line="240" w:lineRule="auto"/>
        <w:ind w:left="1080" w:firstLine="0"/>
        <w:rPr>
          <w:rFonts w:ascii="Times New Roman" w:hAnsi="Times New Roman" w:cs="Times New Roman"/>
          <w:lang w:val="en-GB"/>
        </w:rPr>
      </w:pPr>
      <w:r w:rsidRPr="007504E6">
        <w:rPr>
          <w:rFonts w:ascii="Times New Roman" w:hAnsi="Times New Roman" w:cs="Times New Roman"/>
          <w:noProof/>
          <w:lang w:val="en-GB"/>
        </w:rPr>
        <w:drawing>
          <wp:anchor distT="0" distB="0" distL="114300" distR="114300" simplePos="0" relativeHeight="251769856" behindDoc="0" locked="0" layoutInCell="1" allowOverlap="1" wp14:anchorId="593ED85E" wp14:editId="5AFF8249">
            <wp:simplePos x="0" y="0"/>
            <wp:positionH relativeFrom="column">
              <wp:posOffset>730581</wp:posOffset>
            </wp:positionH>
            <wp:positionV relativeFrom="paragraph">
              <wp:posOffset>759625</wp:posOffset>
            </wp:positionV>
            <wp:extent cx="6699885" cy="42545"/>
            <wp:effectExtent l="0" t="0" r="571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99885" cy="42545"/>
                    </a:xfrm>
                    <a:prstGeom prst="rect">
                      <a:avLst/>
                    </a:prstGeom>
                    <a:noFill/>
                  </pic:spPr>
                </pic:pic>
              </a:graphicData>
            </a:graphic>
          </wp:anchor>
        </w:drawing>
      </w:r>
    </w:p>
    <w:p w14:paraId="506A9048" w14:textId="3C00E0CB" w:rsidR="00A63BAF" w:rsidRPr="007504E6" w:rsidRDefault="002A1159" w:rsidP="00A63BAF">
      <w:pPr>
        <w:pStyle w:val="Virsraksts1"/>
        <w:rPr>
          <w:rFonts w:ascii="Times New Roman" w:hAnsi="Times New Roman" w:cs="Times New Roman"/>
          <w:b/>
          <w:bCs/>
          <w:color w:val="0D0D0D" w:themeColor="text1" w:themeTint="F2"/>
          <w:lang w:val="en-GB"/>
        </w:rPr>
      </w:pPr>
      <w:bookmarkStart w:id="24" w:name="_Toc77714126"/>
      <w:r w:rsidRPr="007504E6">
        <w:rPr>
          <w:rFonts w:ascii="Times New Roman" w:hAnsi="Times New Roman" w:cs="Times New Roman"/>
          <w:b/>
          <w:bCs/>
          <w:color w:val="0D0D0D" w:themeColor="text1" w:themeTint="F2"/>
          <w:lang w:val="en-GB"/>
        </w:rPr>
        <w:t>RESEARCH ANNOTATION</w:t>
      </w:r>
      <w:r w:rsidR="00966AFC" w:rsidRPr="007504E6">
        <w:rPr>
          <w:rFonts w:ascii="Times New Roman" w:hAnsi="Times New Roman" w:cs="Times New Roman"/>
          <w:b/>
          <w:bCs/>
          <w:color w:val="0D0D0D" w:themeColor="text1" w:themeTint="F2"/>
          <w:lang w:val="en-GB"/>
        </w:rPr>
        <w:t xml:space="preserve"> (EN)</w:t>
      </w:r>
      <w:bookmarkEnd w:id="24"/>
    </w:p>
    <w:p w14:paraId="7273453B" w14:textId="4AD485C3" w:rsidR="00A63BAF" w:rsidRPr="007504E6" w:rsidRDefault="00A63BAF" w:rsidP="00A63BAF">
      <w:pPr>
        <w:spacing w:line="240" w:lineRule="auto"/>
        <w:ind w:firstLine="0"/>
        <w:rPr>
          <w:rFonts w:ascii="Times New Roman" w:hAnsi="Times New Roman" w:cs="Times New Roman"/>
          <w:lang w:val="en-GB"/>
        </w:rPr>
      </w:pPr>
      <w:r w:rsidRPr="007504E6">
        <w:rPr>
          <w:rFonts w:ascii="Times New Roman" w:hAnsi="Times New Roman" w:cs="Times New Roman"/>
          <w:lang w:val="en-GB"/>
        </w:rPr>
        <w:t>“Research on projected changes in labour and construction costs in the construction industry in Latvia” has been prepared in accordance with the agreement concluded on April 20, 2021, between the Ministry of Economics of the Republic of Latvia and the research company SIA InnoMatrix.</w:t>
      </w:r>
    </w:p>
    <w:p w14:paraId="4B33D90D" w14:textId="77777777" w:rsidR="00A63BAF" w:rsidRPr="007504E6" w:rsidRDefault="00A63BAF" w:rsidP="00A63BAF">
      <w:pPr>
        <w:spacing w:line="240" w:lineRule="auto"/>
        <w:ind w:firstLine="0"/>
        <w:rPr>
          <w:rFonts w:ascii="Times New Roman" w:hAnsi="Times New Roman" w:cs="Times New Roman"/>
          <w:lang w:val="en-GB"/>
        </w:rPr>
      </w:pPr>
    </w:p>
    <w:p w14:paraId="1F1AA1DD" w14:textId="548A4D41" w:rsidR="00A63BAF" w:rsidRPr="007504E6" w:rsidRDefault="00A63BAF" w:rsidP="00A63BAF">
      <w:pPr>
        <w:spacing w:line="240" w:lineRule="auto"/>
        <w:ind w:firstLine="0"/>
        <w:rPr>
          <w:rFonts w:ascii="Times New Roman" w:hAnsi="Times New Roman" w:cs="Times New Roman"/>
          <w:lang w:val="en-GB"/>
        </w:rPr>
      </w:pPr>
      <w:r w:rsidRPr="007504E6">
        <w:rPr>
          <w:rFonts w:ascii="Times New Roman" w:hAnsi="Times New Roman" w:cs="Times New Roman"/>
          <w:lang w:val="en-GB"/>
        </w:rPr>
        <w:t>The aim of the research is to forecast changes in labour and construction material costs in the construction sector in Latvia in the period from 2021 to 2025 using a reusable research methodology.</w:t>
      </w:r>
    </w:p>
    <w:p w14:paraId="5BC06277" w14:textId="77777777" w:rsidR="00A63BAF" w:rsidRPr="007504E6" w:rsidRDefault="00A63BAF" w:rsidP="00A63BAF">
      <w:pPr>
        <w:spacing w:line="240" w:lineRule="auto"/>
        <w:ind w:firstLine="0"/>
        <w:rPr>
          <w:rFonts w:ascii="Times New Roman" w:hAnsi="Times New Roman" w:cs="Times New Roman"/>
          <w:lang w:val="en-GB"/>
        </w:rPr>
      </w:pPr>
    </w:p>
    <w:p w14:paraId="7E8E5E7F" w14:textId="02FE89E3" w:rsidR="00A63BAF" w:rsidRPr="007504E6" w:rsidRDefault="00A63BAF" w:rsidP="00A63BAF">
      <w:pPr>
        <w:spacing w:line="240" w:lineRule="auto"/>
        <w:ind w:firstLine="0"/>
        <w:rPr>
          <w:rFonts w:ascii="Times New Roman" w:hAnsi="Times New Roman" w:cs="Times New Roman"/>
          <w:lang w:val="en-GB"/>
        </w:rPr>
      </w:pPr>
      <w:r w:rsidRPr="007504E6">
        <w:rPr>
          <w:rFonts w:ascii="Times New Roman" w:hAnsi="Times New Roman" w:cs="Times New Roman"/>
          <w:lang w:val="en-GB"/>
        </w:rPr>
        <w:t>The study includes a detailed assessment and forecasts for the period from 2021 to 2025 both on the total construction volume and costs, and on the following sub-sectors of the construction industry - residential buildings, non-residential buildings, transport objects, urban engineering, special construction, as well as architectural services, technical monitoring and analysis and also trade in construction materials.</w:t>
      </w:r>
    </w:p>
    <w:p w14:paraId="36CC2439" w14:textId="77777777" w:rsidR="00A63BAF" w:rsidRPr="007504E6" w:rsidRDefault="00A63BAF" w:rsidP="00A63BAF">
      <w:pPr>
        <w:spacing w:line="240" w:lineRule="auto"/>
        <w:ind w:firstLine="0"/>
        <w:rPr>
          <w:rFonts w:ascii="Times New Roman" w:hAnsi="Times New Roman" w:cs="Times New Roman"/>
          <w:lang w:val="en-GB"/>
        </w:rPr>
      </w:pPr>
    </w:p>
    <w:p w14:paraId="509682BC" w14:textId="791B266E" w:rsidR="00A63BAF" w:rsidRPr="007504E6" w:rsidRDefault="00A63BAF" w:rsidP="00A63BAF">
      <w:pPr>
        <w:spacing w:line="240" w:lineRule="auto"/>
        <w:ind w:firstLine="0"/>
        <w:rPr>
          <w:rFonts w:ascii="Times New Roman" w:hAnsi="Times New Roman" w:cs="Times New Roman"/>
          <w:lang w:val="en-GB"/>
        </w:rPr>
      </w:pPr>
      <w:r w:rsidRPr="007504E6">
        <w:rPr>
          <w:rFonts w:ascii="Times New Roman" w:hAnsi="Times New Roman" w:cs="Times New Roman"/>
          <w:lang w:val="en-GB"/>
        </w:rPr>
        <w:t>In the course of the research, the factors influencing the costs of labour and construction materials were assessed and analysed, including the proportions of both directly and indirectly influencing indicators, such as measures to combat the shadow economy, lending, availability of financing and labour. The study also assessed the impact of external factors such as the EU single market and EU decisions.</w:t>
      </w:r>
    </w:p>
    <w:p w14:paraId="392252F2" w14:textId="77777777" w:rsidR="00A63BAF" w:rsidRPr="007504E6" w:rsidRDefault="00A63BAF" w:rsidP="00A63BAF">
      <w:pPr>
        <w:spacing w:line="240" w:lineRule="auto"/>
        <w:ind w:firstLine="0"/>
        <w:rPr>
          <w:rFonts w:ascii="Times New Roman" w:hAnsi="Times New Roman" w:cs="Times New Roman"/>
          <w:lang w:val="en-GB"/>
        </w:rPr>
      </w:pPr>
    </w:p>
    <w:p w14:paraId="74D4CFEC" w14:textId="77777777" w:rsidR="00A63BAF" w:rsidRPr="007504E6" w:rsidRDefault="00A63BAF" w:rsidP="00A63BAF">
      <w:pPr>
        <w:spacing w:line="240" w:lineRule="auto"/>
        <w:ind w:firstLine="0"/>
        <w:rPr>
          <w:rFonts w:ascii="Times New Roman" w:hAnsi="Times New Roman" w:cs="Times New Roman"/>
          <w:lang w:val="en-GB"/>
        </w:rPr>
      </w:pPr>
      <w:r w:rsidRPr="007504E6">
        <w:rPr>
          <w:rFonts w:ascii="Times New Roman" w:hAnsi="Times New Roman" w:cs="Times New Roman"/>
          <w:lang w:val="en-GB"/>
        </w:rPr>
        <w:t>The methodology developed and used in the study included the use of both statistical and expert methods and a combination of methods. The data used in the study were data available from the CSB and expert interviews with representatives of the construction industry and experts from the construction industry sub-sectors. To assess the impact of general factors, the study also included forecasts from macroeconomic experts. At least four experts were involved in each expert group. The staffing and selection of the expert group took place in stages by identifying the companies according to the ranking of turnover, the main region of operation, the level of competence, which is based on diversification according to the criteria of the 2nd level.</w:t>
      </w:r>
    </w:p>
    <w:p w14:paraId="233991EA" w14:textId="77777777" w:rsidR="00A63BAF" w:rsidRPr="007504E6" w:rsidRDefault="00A63BAF" w:rsidP="00A63BAF">
      <w:pPr>
        <w:spacing w:line="240" w:lineRule="auto"/>
        <w:ind w:firstLine="0"/>
        <w:rPr>
          <w:rFonts w:ascii="Times New Roman" w:hAnsi="Times New Roman" w:cs="Times New Roman"/>
          <w:lang w:val="en-GB"/>
        </w:rPr>
      </w:pPr>
    </w:p>
    <w:p w14:paraId="729F772D" w14:textId="77777777" w:rsidR="00A63BAF" w:rsidRPr="007504E6" w:rsidRDefault="00A63BAF" w:rsidP="00A63BAF">
      <w:pPr>
        <w:spacing w:line="240" w:lineRule="auto"/>
        <w:ind w:firstLine="0"/>
        <w:rPr>
          <w:rFonts w:ascii="Times New Roman" w:hAnsi="Times New Roman" w:cs="Times New Roman"/>
          <w:lang w:val="en-GB"/>
        </w:rPr>
      </w:pPr>
      <w:r w:rsidRPr="007504E6">
        <w:rPr>
          <w:rFonts w:ascii="Times New Roman" w:hAnsi="Times New Roman" w:cs="Times New Roman"/>
          <w:lang w:val="en-GB"/>
        </w:rPr>
        <w:t>The research data set consists of statistical data. Within the framework of expert interviews, the factors influencing changes in construction costs, the level of their impact, and expert assessments of price change trends were identified. For the identified factors, the series of dynamics with their previous development were retrieved.</w:t>
      </w:r>
    </w:p>
    <w:p w14:paraId="6AABE9E3" w14:textId="77777777" w:rsidR="00A63BAF" w:rsidRPr="007504E6" w:rsidRDefault="00A63BAF" w:rsidP="00A63BAF">
      <w:pPr>
        <w:spacing w:line="240" w:lineRule="auto"/>
        <w:ind w:firstLine="0"/>
        <w:rPr>
          <w:rFonts w:ascii="Times New Roman" w:hAnsi="Times New Roman" w:cs="Times New Roman"/>
          <w:lang w:val="en-GB"/>
        </w:rPr>
      </w:pPr>
    </w:p>
    <w:p w14:paraId="6038A312" w14:textId="2AA1626E" w:rsidR="00A63BAF" w:rsidRPr="007504E6" w:rsidRDefault="00A63BAF" w:rsidP="00A63BAF">
      <w:pPr>
        <w:spacing w:line="240" w:lineRule="auto"/>
        <w:ind w:firstLine="0"/>
        <w:rPr>
          <w:rFonts w:ascii="Times New Roman" w:hAnsi="Times New Roman" w:cs="Times New Roman"/>
          <w:lang w:val="en-GB"/>
        </w:rPr>
      </w:pPr>
      <w:r w:rsidRPr="007504E6">
        <w:rPr>
          <w:rFonts w:ascii="Times New Roman" w:hAnsi="Times New Roman" w:cs="Times New Roman"/>
          <w:lang w:val="en-GB"/>
        </w:rPr>
        <w:t>Various analysis methods were used for the analysis of statistical data and expert evaluations obtained in the evaluation, according to the research task, data development trends and the scale of expert evaluations. To determine the further development of cost changes, various types of models were used, which characterize the further development of the main trends of the dynamic’s series over time, based on the extrapolation of previous trends. The obtained models were evaluated for quality with variance indicators.</w:t>
      </w:r>
    </w:p>
    <w:p w14:paraId="77D4E22C" w14:textId="77777777" w:rsidR="00A63BAF" w:rsidRPr="007504E6" w:rsidRDefault="00A63BAF" w:rsidP="00A63BAF">
      <w:pPr>
        <w:spacing w:line="240" w:lineRule="auto"/>
        <w:ind w:firstLine="0"/>
        <w:rPr>
          <w:rFonts w:ascii="Times New Roman" w:hAnsi="Times New Roman" w:cs="Times New Roman"/>
          <w:lang w:val="en-GB"/>
        </w:rPr>
      </w:pPr>
    </w:p>
    <w:p w14:paraId="363560F4" w14:textId="3CF59CC2" w:rsidR="00A63BAF" w:rsidRPr="007504E6" w:rsidRDefault="00A63BAF" w:rsidP="00A63BAF">
      <w:pPr>
        <w:spacing w:line="240" w:lineRule="auto"/>
        <w:ind w:firstLine="0"/>
        <w:rPr>
          <w:rFonts w:ascii="Times New Roman" w:hAnsi="Times New Roman" w:cs="Times New Roman"/>
          <w:lang w:val="en-GB"/>
        </w:rPr>
      </w:pPr>
      <w:r w:rsidRPr="007504E6">
        <w:rPr>
          <w:rFonts w:ascii="Times New Roman" w:hAnsi="Times New Roman" w:cs="Times New Roman"/>
          <w:lang w:val="en-GB"/>
        </w:rPr>
        <w:t>Depending on the form and scale of the questions used, the calculations of aggregate means, structure means, scatter and variation indicators were used in the processing of expert assessments. In addition to a separate analysis of statistical information and expert judgment, combined forecasts were used as the final forecasting tool, combining the various sources of information used in the Study. This was done with the aim of compensating for errors and improving the reliability of the final forecast.</w:t>
      </w:r>
    </w:p>
    <w:p w14:paraId="239EB5EF" w14:textId="38E869A0" w:rsidR="001D58B8" w:rsidRPr="004D0739" w:rsidRDefault="002A1159" w:rsidP="004D0739">
      <w:pPr>
        <w:pStyle w:val="Virsraksts1"/>
        <w:rPr>
          <w:rFonts w:ascii="Times New Roman" w:hAnsi="Times New Roman" w:cs="Times New Roman"/>
          <w:b/>
          <w:bCs/>
          <w:color w:val="0D0D0D" w:themeColor="text1" w:themeTint="F2"/>
          <w:lang w:val="en-GB"/>
        </w:rPr>
      </w:pPr>
      <w:bookmarkStart w:id="25" w:name="_Toc77714127"/>
      <w:r w:rsidRPr="007504E6">
        <w:rPr>
          <w:rFonts w:ascii="Times New Roman" w:hAnsi="Times New Roman" w:cs="Times New Roman"/>
          <w:b/>
          <w:bCs/>
          <w:color w:val="0D0D0D" w:themeColor="text1" w:themeTint="F2"/>
          <w:lang w:val="en-GB"/>
        </w:rPr>
        <w:t>LIST OF EXPERTS</w:t>
      </w:r>
      <w:bookmarkEnd w:id="25"/>
    </w:p>
    <w:p w14:paraId="2088099D" w14:textId="178E1E48" w:rsidR="001D58B8" w:rsidRPr="007504E6" w:rsidRDefault="00F6038A" w:rsidP="00F6038A">
      <w:pPr>
        <w:pStyle w:val="Virsraksts2"/>
        <w:rPr>
          <w:rFonts w:ascii="Times New Roman" w:hAnsi="Times New Roman" w:cs="Times New Roman"/>
          <w:color w:val="404040" w:themeColor="text1" w:themeTint="BF"/>
          <w:lang w:val="en-GB"/>
        </w:rPr>
      </w:pPr>
      <w:r w:rsidRPr="007504E6">
        <w:rPr>
          <w:rFonts w:ascii="Times New Roman" w:hAnsi="Times New Roman" w:cs="Times New Roman"/>
          <w:lang w:val="en-GB"/>
        </w:rPr>
        <w:t xml:space="preserve"> </w:t>
      </w:r>
      <w:bookmarkStart w:id="26" w:name="_Toc77714128"/>
      <w:r w:rsidR="002A1159" w:rsidRPr="007504E6">
        <w:rPr>
          <w:rFonts w:ascii="Times New Roman" w:hAnsi="Times New Roman" w:cs="Times New Roman"/>
          <w:color w:val="404040" w:themeColor="text1" w:themeTint="BF"/>
          <w:lang w:val="en-GB"/>
        </w:rPr>
        <w:t>Organizations involved in the general expert survey</w:t>
      </w:r>
      <w:bookmarkEnd w:id="26"/>
    </w:p>
    <w:tbl>
      <w:tblPr>
        <w:tblW w:w="9067" w:type="dxa"/>
        <w:tblLook w:val="04A0" w:firstRow="1" w:lastRow="0" w:firstColumn="1" w:lastColumn="0" w:noHBand="0" w:noVBand="1"/>
      </w:tblPr>
      <w:tblGrid>
        <w:gridCol w:w="3256"/>
        <w:gridCol w:w="2268"/>
        <w:gridCol w:w="3543"/>
      </w:tblGrid>
      <w:tr w:rsidR="007B3227" w:rsidRPr="007504E6" w14:paraId="7B733BD2"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550FE" w14:textId="264B7C33"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Ministry of Finance</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4E210B1F" w14:textId="575DD6D4"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Diana Onge</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64B47ED9" w14:textId="22E9B616"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Experts</w:t>
            </w:r>
          </w:p>
        </w:tc>
      </w:tr>
      <w:tr w:rsidR="007B3227" w:rsidRPr="007504E6" w14:paraId="32B4648F" w14:textId="77777777" w:rsidTr="00773975">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35864A9C" w14:textId="12918922"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Latvian Partnership of Construction Contractors</w:t>
            </w:r>
          </w:p>
        </w:tc>
        <w:tc>
          <w:tcPr>
            <w:tcW w:w="2268" w:type="dxa"/>
            <w:tcBorders>
              <w:top w:val="nil"/>
              <w:left w:val="nil"/>
              <w:bottom w:val="single" w:sz="4" w:space="0" w:color="auto"/>
              <w:right w:val="single" w:sz="4" w:space="0" w:color="auto"/>
            </w:tcBorders>
            <w:shd w:val="clear" w:color="auto" w:fill="auto"/>
            <w:noWrap/>
            <w:vAlign w:val="bottom"/>
            <w:hideMark/>
          </w:tcPr>
          <w:p w14:paraId="7BE90402" w14:textId="550EC594"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Gints Miķelsons</w:t>
            </w:r>
          </w:p>
        </w:tc>
        <w:tc>
          <w:tcPr>
            <w:tcW w:w="3543" w:type="dxa"/>
            <w:tcBorders>
              <w:top w:val="nil"/>
              <w:left w:val="nil"/>
              <w:bottom w:val="single" w:sz="4" w:space="0" w:color="auto"/>
              <w:right w:val="single" w:sz="4" w:space="0" w:color="auto"/>
            </w:tcBorders>
            <w:shd w:val="clear" w:color="auto" w:fill="auto"/>
            <w:noWrap/>
            <w:vAlign w:val="bottom"/>
            <w:hideMark/>
          </w:tcPr>
          <w:p w14:paraId="354BA98D" w14:textId="21E80A92"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Director</w:t>
            </w:r>
          </w:p>
        </w:tc>
      </w:tr>
      <w:tr w:rsidR="007B3227" w:rsidRPr="007504E6" w14:paraId="112ADA90" w14:textId="77777777" w:rsidTr="00773975">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17BC5248" w14:textId="05FF41BA"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Association " Passive House Latvia "</w:t>
            </w:r>
          </w:p>
        </w:tc>
        <w:tc>
          <w:tcPr>
            <w:tcW w:w="2268" w:type="dxa"/>
            <w:tcBorders>
              <w:top w:val="nil"/>
              <w:left w:val="nil"/>
              <w:bottom w:val="single" w:sz="4" w:space="0" w:color="auto"/>
              <w:right w:val="single" w:sz="4" w:space="0" w:color="auto"/>
            </w:tcBorders>
            <w:shd w:val="clear" w:color="auto" w:fill="auto"/>
            <w:noWrap/>
            <w:vAlign w:val="bottom"/>
            <w:hideMark/>
          </w:tcPr>
          <w:p w14:paraId="2EAD52F3" w14:textId="28E4ECED"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proofErr w:type="spellStart"/>
            <w:r w:rsidRPr="007504E6">
              <w:rPr>
                <w:lang w:val="en-GB"/>
              </w:rPr>
              <w:t>Mārtiņš</w:t>
            </w:r>
            <w:proofErr w:type="spellEnd"/>
            <w:r w:rsidRPr="007504E6">
              <w:rPr>
                <w:lang w:val="en-GB"/>
              </w:rPr>
              <w:t xml:space="preserve"> </w:t>
            </w:r>
            <w:proofErr w:type="spellStart"/>
            <w:r w:rsidRPr="007504E6">
              <w:rPr>
                <w:lang w:val="en-GB"/>
              </w:rPr>
              <w:t>Prīsis</w:t>
            </w:r>
            <w:proofErr w:type="spellEnd"/>
          </w:p>
        </w:tc>
        <w:tc>
          <w:tcPr>
            <w:tcW w:w="3543" w:type="dxa"/>
            <w:tcBorders>
              <w:top w:val="nil"/>
              <w:left w:val="nil"/>
              <w:bottom w:val="single" w:sz="4" w:space="0" w:color="auto"/>
              <w:right w:val="single" w:sz="4" w:space="0" w:color="auto"/>
            </w:tcBorders>
            <w:shd w:val="clear" w:color="auto" w:fill="auto"/>
            <w:noWrap/>
            <w:vAlign w:val="bottom"/>
            <w:hideMark/>
          </w:tcPr>
          <w:p w14:paraId="4A53EFFF" w14:textId="08F0CD1C"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Director</w:t>
            </w:r>
          </w:p>
        </w:tc>
      </w:tr>
      <w:tr w:rsidR="007B3227" w:rsidRPr="007504E6" w14:paraId="6D59FE63" w14:textId="77777777" w:rsidTr="00773975">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340F8062" w14:textId="72112829"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Ministry of Environmental Protection and Regional Development ( MEPRD )</w:t>
            </w:r>
          </w:p>
        </w:tc>
        <w:tc>
          <w:tcPr>
            <w:tcW w:w="2268" w:type="dxa"/>
            <w:tcBorders>
              <w:top w:val="nil"/>
              <w:left w:val="nil"/>
              <w:bottom w:val="single" w:sz="4" w:space="0" w:color="auto"/>
              <w:right w:val="single" w:sz="4" w:space="0" w:color="auto"/>
            </w:tcBorders>
            <w:shd w:val="clear" w:color="auto" w:fill="auto"/>
            <w:noWrap/>
            <w:vAlign w:val="bottom"/>
            <w:hideMark/>
          </w:tcPr>
          <w:p w14:paraId="51BD00AC" w14:textId="58B77E85"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 xml:space="preserve">Maris </w:t>
            </w:r>
            <w:proofErr w:type="spellStart"/>
            <w:r w:rsidRPr="007504E6">
              <w:rPr>
                <w:lang w:val="en-GB"/>
              </w:rPr>
              <w:t>Klismets</w:t>
            </w:r>
            <w:proofErr w:type="spellEnd"/>
          </w:p>
        </w:tc>
        <w:tc>
          <w:tcPr>
            <w:tcW w:w="3543" w:type="dxa"/>
            <w:tcBorders>
              <w:top w:val="nil"/>
              <w:left w:val="nil"/>
              <w:bottom w:val="single" w:sz="4" w:space="0" w:color="auto"/>
              <w:right w:val="single" w:sz="4" w:space="0" w:color="auto"/>
            </w:tcBorders>
            <w:shd w:val="clear" w:color="auto" w:fill="auto"/>
            <w:noWrap/>
            <w:vAlign w:val="bottom"/>
            <w:hideMark/>
          </w:tcPr>
          <w:p w14:paraId="5ACFB4DA" w14:textId="77D16E89"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Strategy and Sustainable Development Division</w:t>
            </w:r>
          </w:p>
        </w:tc>
      </w:tr>
      <w:tr w:rsidR="007B3227" w:rsidRPr="007504E6" w14:paraId="60745C19"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10B16" w14:textId="3035977D"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Latvian Association of Heat, Gas and Water Technology Engineers</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61930CDA" w14:textId="3847C3EA"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 xml:space="preserve">Dainis </w:t>
            </w:r>
            <w:proofErr w:type="spellStart"/>
            <w:r w:rsidRPr="007504E6">
              <w:rPr>
                <w:lang w:val="en-GB"/>
              </w:rPr>
              <w:t>Ģegers</w:t>
            </w:r>
            <w:proofErr w:type="spellEnd"/>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6160FA6F" w14:textId="414FCB9E"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 xml:space="preserve">Member of the Board, Head of the Construction Specialists Certification </w:t>
            </w:r>
            <w:proofErr w:type="spellStart"/>
            <w:r w:rsidRPr="007504E6">
              <w:rPr>
                <w:lang w:val="en-GB"/>
              </w:rPr>
              <w:t>Center</w:t>
            </w:r>
            <w:proofErr w:type="spellEnd"/>
          </w:p>
        </w:tc>
      </w:tr>
      <w:tr w:rsidR="007B3227" w:rsidRPr="007504E6" w14:paraId="77A29623"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E3060" w14:textId="05ABA936"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Department of Architecture and Construction, Latvia University of Agriculture</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1AE2B748" w14:textId="4E7DB831"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 xml:space="preserve">Andris </w:t>
            </w:r>
            <w:proofErr w:type="spellStart"/>
            <w:r w:rsidRPr="007504E6">
              <w:rPr>
                <w:lang w:val="en-GB"/>
              </w:rPr>
              <w:t>Steinerts</w:t>
            </w:r>
            <w:proofErr w:type="spellEnd"/>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069E07EC" w14:textId="66F765B4"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Associated professor</w:t>
            </w:r>
          </w:p>
        </w:tc>
      </w:tr>
      <w:tr w:rsidR="007B3227" w:rsidRPr="007504E6" w14:paraId="5CAFDA5B"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FC0855" w14:textId="79EF8CA1"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Latvian Union of Civil Engineers</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3DD8A5AE" w14:textId="05E90339"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 xml:space="preserve">Raimonds </w:t>
            </w:r>
            <w:proofErr w:type="spellStart"/>
            <w:r w:rsidRPr="007504E6">
              <w:rPr>
                <w:lang w:val="en-GB"/>
              </w:rPr>
              <w:t>Vītiņš</w:t>
            </w:r>
            <w:proofErr w:type="spellEnd"/>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3B58E757" w14:textId="7EDF5820"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Civil engineer</w:t>
            </w:r>
          </w:p>
        </w:tc>
      </w:tr>
      <w:tr w:rsidR="007B3227" w:rsidRPr="007504E6" w14:paraId="4011D5C9"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6BFC4" w14:textId="20097331"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 xml:space="preserve">AS </w:t>
            </w:r>
            <w:r w:rsidR="004D0739" w:rsidRPr="007504E6">
              <w:rPr>
                <w:lang w:val="en-GB"/>
              </w:rPr>
              <w:t>“SEB</w:t>
            </w:r>
            <w:r w:rsidRPr="007504E6">
              <w:rPr>
                <w:lang w:val="en-GB"/>
              </w:rPr>
              <w:t> </w:t>
            </w:r>
            <w:proofErr w:type="spellStart"/>
            <w:r w:rsidRPr="007504E6">
              <w:rPr>
                <w:lang w:val="en-GB"/>
              </w:rPr>
              <w:t>banka</w:t>
            </w:r>
            <w:proofErr w:type="spellEnd"/>
            <w:r w:rsidRPr="007504E6">
              <w:rPr>
                <w:lang w:val="en-GB"/>
              </w:rPr>
              <w:t>”</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07D79035" w14:textId="6E9D6E7E"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Dainis Gašpuitis</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73C3F819" w14:textId="5294B677"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Economist</w:t>
            </w:r>
          </w:p>
        </w:tc>
      </w:tr>
      <w:tr w:rsidR="007B3227" w:rsidRPr="007504E6" w14:paraId="00DEED1F"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35FDB" w14:textId="0783AB30"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University</w:t>
            </w:r>
            <w:r w:rsidR="00377393">
              <w:rPr>
                <w:lang w:val="en-GB"/>
              </w:rPr>
              <w:t xml:space="preserve"> of Latvia</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3EC1143F" w14:textId="3AC477F5"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Mikhail Hazans</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10329DDD" w14:textId="50351471"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Professor</w:t>
            </w:r>
          </w:p>
        </w:tc>
      </w:tr>
      <w:tr w:rsidR="007B3227" w:rsidRPr="007504E6" w14:paraId="5BD09F72"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B7CD5" w14:textId="78631E81"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Latvian Builders Association</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1C309E32" w14:textId="53EC94F5"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proofErr w:type="spellStart"/>
            <w:r w:rsidRPr="007504E6">
              <w:rPr>
                <w:lang w:val="en-GB"/>
              </w:rPr>
              <w:t>Normunds</w:t>
            </w:r>
            <w:proofErr w:type="spellEnd"/>
            <w:r w:rsidRPr="007504E6">
              <w:rPr>
                <w:lang w:val="en-GB"/>
              </w:rPr>
              <w:t xml:space="preserve"> </w:t>
            </w:r>
            <w:proofErr w:type="spellStart"/>
            <w:r w:rsidRPr="007504E6">
              <w:rPr>
                <w:lang w:val="en-GB"/>
              </w:rPr>
              <w:t>Grinbergs</w:t>
            </w:r>
            <w:proofErr w:type="spellEnd"/>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1031A697" w14:textId="285F3353"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Director</w:t>
            </w:r>
          </w:p>
        </w:tc>
      </w:tr>
      <w:tr w:rsidR="007B3227" w:rsidRPr="007504E6" w14:paraId="3DCB302F"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81BD87" w14:textId="65320C64"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proofErr w:type="spellStart"/>
            <w:r w:rsidRPr="007504E6">
              <w:rPr>
                <w:lang w:val="en-GB"/>
              </w:rPr>
              <w:t>Rezekne</w:t>
            </w:r>
            <w:proofErr w:type="spellEnd"/>
            <w:r w:rsidRPr="007504E6">
              <w:rPr>
                <w:lang w:val="en-GB"/>
              </w:rPr>
              <w:t xml:space="preserve"> district construction board</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2550D5C9" w14:textId="713B0BDE"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 xml:space="preserve">Inga </w:t>
            </w:r>
            <w:proofErr w:type="spellStart"/>
            <w:r w:rsidRPr="007504E6">
              <w:rPr>
                <w:lang w:val="en-GB"/>
              </w:rPr>
              <w:t>Alexandrovich</w:t>
            </w:r>
            <w:proofErr w:type="spellEnd"/>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29264FAC" w14:textId="0B7240AD"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Head of the Construction Board</w:t>
            </w:r>
          </w:p>
        </w:tc>
      </w:tr>
      <w:tr w:rsidR="007B3227" w:rsidRPr="007504E6" w14:paraId="190F2A67"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4457B" w14:textId="59BB744B"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 xml:space="preserve">SIA </w:t>
            </w:r>
            <w:r w:rsidR="004D0739" w:rsidRPr="007504E6">
              <w:rPr>
                <w:lang w:val="en-GB"/>
              </w:rPr>
              <w:t>“BIM</w:t>
            </w:r>
            <w:r w:rsidRPr="007504E6">
              <w:rPr>
                <w:lang w:val="en-GB"/>
              </w:rPr>
              <w:t xml:space="preserve"> </w:t>
            </w:r>
            <w:r w:rsidR="004D0739" w:rsidRPr="007504E6">
              <w:rPr>
                <w:lang w:val="en-GB"/>
              </w:rPr>
              <w:t>Solutions”</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39EA4152" w14:textId="064FEC3E"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Eriks Vitols</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6AD8C51F" w14:textId="416C8723"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Business manager</w:t>
            </w:r>
          </w:p>
        </w:tc>
      </w:tr>
      <w:tr w:rsidR="007B3227" w:rsidRPr="007504E6" w14:paraId="3A0767E1"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133E7" w14:textId="0C025D9A"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SIA </w:t>
            </w:r>
            <w:r w:rsidR="004D0739" w:rsidRPr="007504E6">
              <w:rPr>
                <w:lang w:val="en-GB"/>
              </w:rPr>
              <w:t>“NEVERENC”</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49C116F5" w14:textId="39F6EAE7"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proofErr w:type="spellStart"/>
            <w:r w:rsidRPr="007504E6">
              <w:rPr>
                <w:lang w:val="en-GB"/>
              </w:rPr>
              <w:t>Dzintars</w:t>
            </w:r>
            <w:proofErr w:type="spellEnd"/>
            <w:r w:rsidRPr="007504E6">
              <w:rPr>
                <w:lang w:val="en-GB"/>
              </w:rPr>
              <w:t xml:space="preserve"> </w:t>
            </w:r>
            <w:proofErr w:type="spellStart"/>
            <w:r w:rsidRPr="007504E6">
              <w:rPr>
                <w:lang w:val="en-GB"/>
              </w:rPr>
              <w:t>Neverovskis</w:t>
            </w:r>
            <w:proofErr w:type="spellEnd"/>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0F9AA061" w14:textId="6BB48D82"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Board loc.</w:t>
            </w:r>
          </w:p>
        </w:tc>
      </w:tr>
      <w:tr w:rsidR="007B3227" w:rsidRPr="007504E6" w14:paraId="6CA1FB14"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8F6E2" w14:textId="5885F5BF"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SIA </w:t>
            </w:r>
            <w:r w:rsidR="004D0739" w:rsidRPr="007504E6">
              <w:rPr>
                <w:lang w:val="en-GB"/>
              </w:rPr>
              <w:t>“CEL</w:t>
            </w:r>
            <w:r w:rsidRPr="007504E6">
              <w:rPr>
                <w:lang w:val="en-GB"/>
              </w:rPr>
              <w:t> ”</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43941544" w14:textId="47931514"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proofErr w:type="spellStart"/>
            <w:r w:rsidRPr="007504E6">
              <w:rPr>
                <w:lang w:val="en-GB"/>
              </w:rPr>
              <w:t>Māra</w:t>
            </w:r>
            <w:proofErr w:type="spellEnd"/>
            <w:r w:rsidRPr="007504E6">
              <w:rPr>
                <w:lang w:val="en-GB"/>
              </w:rPr>
              <w:t xml:space="preserve"> </w:t>
            </w:r>
            <w:proofErr w:type="spellStart"/>
            <w:r w:rsidRPr="007504E6">
              <w:rPr>
                <w:lang w:val="en-GB"/>
              </w:rPr>
              <w:t>Vītiņa</w:t>
            </w:r>
            <w:proofErr w:type="spellEnd"/>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2300B163" w14:textId="3BA6AAC5"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Member of the Board</w:t>
            </w:r>
          </w:p>
        </w:tc>
      </w:tr>
      <w:tr w:rsidR="007B3227" w:rsidRPr="007504E6" w14:paraId="63E9E028"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82E92F" w14:textId="55A3384A"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 xml:space="preserve">SIA </w:t>
            </w:r>
            <w:r w:rsidR="004D0739" w:rsidRPr="007504E6">
              <w:rPr>
                <w:lang w:val="en-GB"/>
              </w:rPr>
              <w:t>“PEPE</w:t>
            </w:r>
            <w:r w:rsidRPr="007504E6">
              <w:rPr>
                <w:lang w:val="en-GB"/>
              </w:rPr>
              <w:t> ”</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7F38AD20" w14:textId="3841FF05"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 xml:space="preserve">Vents </w:t>
            </w:r>
            <w:proofErr w:type="spellStart"/>
            <w:r w:rsidRPr="007504E6">
              <w:rPr>
                <w:lang w:val="en-GB"/>
              </w:rPr>
              <w:t>Vīksna</w:t>
            </w:r>
            <w:proofErr w:type="spellEnd"/>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3C56AAF9" w14:textId="19B5ACA5"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Member of the Board</w:t>
            </w:r>
          </w:p>
        </w:tc>
      </w:tr>
      <w:tr w:rsidR="007B3227" w:rsidRPr="007504E6" w14:paraId="276F93B9"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D1409E" w14:textId="0804DB58"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 xml:space="preserve">SIA </w:t>
            </w:r>
            <w:r w:rsidR="004D0739" w:rsidRPr="007504E6">
              <w:rPr>
                <w:lang w:val="en-GB"/>
              </w:rPr>
              <w:t>“SCHWENK</w:t>
            </w:r>
            <w:r w:rsidRPr="007504E6">
              <w:rPr>
                <w:lang w:val="en-GB"/>
              </w:rPr>
              <w:t xml:space="preserve"> </w:t>
            </w:r>
            <w:proofErr w:type="spellStart"/>
            <w:r w:rsidRPr="007504E6">
              <w:rPr>
                <w:lang w:val="en-GB"/>
              </w:rPr>
              <w:t>Latvija</w:t>
            </w:r>
            <w:proofErr w:type="spellEnd"/>
            <w:r w:rsidRPr="007504E6">
              <w:rPr>
                <w:lang w:val="en-GB"/>
              </w:rPr>
              <w:t> ”</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7DA8B0D5" w14:textId="589E90F0"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 xml:space="preserve">Maris </w:t>
            </w:r>
            <w:proofErr w:type="spellStart"/>
            <w:r w:rsidRPr="007504E6">
              <w:rPr>
                <w:lang w:val="en-GB"/>
              </w:rPr>
              <w:t>Gruzniņš</w:t>
            </w:r>
            <w:proofErr w:type="spellEnd"/>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4B94D300" w14:textId="5239BD36"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Commercial Director, Member of the Board</w:t>
            </w:r>
          </w:p>
        </w:tc>
      </w:tr>
      <w:tr w:rsidR="007B3227" w:rsidRPr="007504E6" w14:paraId="0F45FDD9"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12725C" w14:textId="143A341F"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AS “</w:t>
            </w:r>
            <w:proofErr w:type="spellStart"/>
            <w:r w:rsidRPr="007504E6">
              <w:rPr>
                <w:lang w:val="en-GB"/>
              </w:rPr>
              <w:t>Sakret</w:t>
            </w:r>
            <w:proofErr w:type="spellEnd"/>
            <w:r w:rsidRPr="007504E6">
              <w:rPr>
                <w:lang w:val="en-GB"/>
              </w:rPr>
              <w:t xml:space="preserve"> Holdings”</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51B9F715" w14:textId="25F94EC8"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Juris Grīnvalds</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6648BB4A" w14:textId="635FC223"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Member of the Board, Commercial Director</w:t>
            </w:r>
          </w:p>
        </w:tc>
      </w:tr>
      <w:tr w:rsidR="007B3227" w:rsidRPr="007504E6" w14:paraId="49959612"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2819E5" w14:textId="292FB540"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IK </w:t>
            </w:r>
            <w:r w:rsidR="004D0739" w:rsidRPr="007504E6">
              <w:rPr>
                <w:lang w:val="en-GB"/>
              </w:rPr>
              <w:t>“Gamma</w:t>
            </w:r>
            <w:r w:rsidRPr="007504E6">
              <w:rPr>
                <w:lang w:val="en-GB"/>
              </w:rPr>
              <w:t> ”</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1C76122D" w14:textId="5EC91FB5"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Juris Karss</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78A413B9" w14:textId="74CC7273" w:rsidR="007B3227" w:rsidRPr="007504E6" w:rsidRDefault="007B3227" w:rsidP="007B3227">
            <w:pPr>
              <w:spacing w:line="240" w:lineRule="auto"/>
              <w:ind w:firstLine="0"/>
              <w:jc w:val="left"/>
              <w:rPr>
                <w:rFonts w:ascii="Times New Roman" w:eastAsia="Times New Roman" w:hAnsi="Times New Roman" w:cs="Times New Roman"/>
                <w:color w:val="000000"/>
                <w:lang w:val="en-GB" w:eastAsia="lv-LV"/>
              </w:rPr>
            </w:pPr>
            <w:r w:rsidRPr="007504E6">
              <w:rPr>
                <w:lang w:val="en-GB"/>
              </w:rPr>
              <w:t>Civil engineer</w:t>
            </w:r>
          </w:p>
        </w:tc>
      </w:tr>
    </w:tbl>
    <w:p w14:paraId="575940E1" w14:textId="0023DCC3" w:rsidR="001D58B8" w:rsidRPr="007504E6" w:rsidRDefault="001D58B8" w:rsidP="0059518C">
      <w:pPr>
        <w:spacing w:after="160" w:line="259" w:lineRule="auto"/>
        <w:ind w:firstLine="0"/>
        <w:jc w:val="left"/>
        <w:rPr>
          <w:rFonts w:ascii="Times New Roman" w:hAnsi="Times New Roman" w:cs="Times New Roman"/>
          <w:lang w:val="en-GB"/>
        </w:rPr>
      </w:pPr>
    </w:p>
    <w:p w14:paraId="2A405A51" w14:textId="29BBDB9A" w:rsidR="00F6038A" w:rsidRPr="007504E6" w:rsidRDefault="002A1159" w:rsidP="00F6038A">
      <w:pPr>
        <w:pStyle w:val="Virsraksts2"/>
        <w:rPr>
          <w:rFonts w:ascii="Times New Roman" w:hAnsi="Times New Roman" w:cs="Times New Roman"/>
          <w:color w:val="404040" w:themeColor="text1" w:themeTint="BF"/>
          <w:lang w:val="en-GB"/>
        </w:rPr>
      </w:pPr>
      <w:bookmarkStart w:id="27" w:name="_Toc77714129"/>
      <w:r w:rsidRPr="007504E6">
        <w:rPr>
          <w:rFonts w:ascii="Times New Roman" w:hAnsi="Times New Roman" w:cs="Times New Roman"/>
          <w:color w:val="404040" w:themeColor="text1" w:themeTint="BF"/>
          <w:lang w:val="en-GB"/>
        </w:rPr>
        <w:t>Organizations involved in the sub - sector expert survey</w:t>
      </w:r>
      <w:bookmarkEnd w:id="27"/>
    </w:p>
    <w:p w14:paraId="4E8BC98D" w14:textId="7AD7A4E9" w:rsidR="00F6038A" w:rsidRPr="007504E6" w:rsidRDefault="00F6038A" w:rsidP="00F6038A">
      <w:pPr>
        <w:ind w:firstLine="0"/>
        <w:rPr>
          <w:rFonts w:ascii="Times New Roman" w:hAnsi="Times New Roman" w:cs="Times New Roman"/>
          <w:lang w:val="en-GB"/>
        </w:rPr>
      </w:pPr>
    </w:p>
    <w:p w14:paraId="3DDE6DEA" w14:textId="6C5B6115" w:rsidR="005D2217" w:rsidRPr="007504E6" w:rsidRDefault="002A1159" w:rsidP="00D64210">
      <w:pPr>
        <w:pStyle w:val="Sarakstarindkopa"/>
        <w:numPr>
          <w:ilvl w:val="0"/>
          <w:numId w:val="23"/>
        </w:numPr>
        <w:rPr>
          <w:rFonts w:ascii="Times New Roman" w:hAnsi="Times New Roman" w:cs="Times New Roman"/>
          <w:lang w:val="en-GB"/>
        </w:rPr>
      </w:pPr>
      <w:r w:rsidRPr="007504E6">
        <w:rPr>
          <w:rFonts w:ascii="Times New Roman" w:hAnsi="Times New Roman" w:cs="Times New Roman"/>
          <w:lang w:val="en-GB"/>
        </w:rPr>
        <w:t>Construction of residential and non-residential buildings</w:t>
      </w:r>
    </w:p>
    <w:tbl>
      <w:tblPr>
        <w:tblW w:w="9067" w:type="dxa"/>
        <w:tblLook w:val="04A0" w:firstRow="1" w:lastRow="0" w:firstColumn="1" w:lastColumn="0" w:noHBand="0" w:noVBand="1"/>
      </w:tblPr>
      <w:tblGrid>
        <w:gridCol w:w="3256"/>
        <w:gridCol w:w="2268"/>
        <w:gridCol w:w="3543"/>
      </w:tblGrid>
      <w:tr w:rsidR="00DA272B" w:rsidRPr="007504E6" w14:paraId="75B04716" w14:textId="77777777" w:rsidTr="00CA542D">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A2EBAF" w14:textId="519E2B83" w:rsidR="00DA272B" w:rsidRPr="007504E6" w:rsidRDefault="00DA272B" w:rsidP="00DA272B">
            <w:pPr>
              <w:spacing w:line="240" w:lineRule="auto"/>
              <w:ind w:firstLine="0"/>
              <w:jc w:val="left"/>
              <w:rPr>
                <w:rFonts w:ascii="Times New Roman" w:eastAsia="Times New Roman" w:hAnsi="Times New Roman" w:cs="Times New Roman"/>
                <w:color w:val="000000"/>
                <w:lang w:val="en-GB" w:eastAsia="lv-LV"/>
              </w:rPr>
            </w:pPr>
            <w:r w:rsidRPr="007504E6">
              <w:rPr>
                <w:lang w:val="en-GB"/>
              </w:rPr>
              <w:t>Real accordance estate development alliance</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30385A70" w14:textId="3B569A63" w:rsidR="00DA272B" w:rsidRPr="007504E6" w:rsidRDefault="00DA272B" w:rsidP="00DA272B">
            <w:pPr>
              <w:spacing w:line="240" w:lineRule="auto"/>
              <w:ind w:firstLine="0"/>
              <w:jc w:val="left"/>
              <w:rPr>
                <w:rFonts w:ascii="Times New Roman" w:eastAsia="Times New Roman" w:hAnsi="Times New Roman" w:cs="Times New Roman"/>
                <w:color w:val="000000"/>
                <w:lang w:val="en-GB" w:eastAsia="lv-LV"/>
              </w:rPr>
            </w:pPr>
            <w:proofErr w:type="spellStart"/>
            <w:r w:rsidRPr="007504E6">
              <w:rPr>
                <w:lang w:val="en-GB"/>
              </w:rPr>
              <w:t>Mārtiņš</w:t>
            </w:r>
            <w:proofErr w:type="spellEnd"/>
            <w:r w:rsidRPr="007504E6">
              <w:rPr>
                <w:lang w:val="en-GB"/>
              </w:rPr>
              <w:t xml:space="preserve"> </w:t>
            </w:r>
            <w:proofErr w:type="spellStart"/>
            <w:r w:rsidRPr="007504E6">
              <w:rPr>
                <w:lang w:val="en-GB"/>
              </w:rPr>
              <w:t>Vanags</w:t>
            </w:r>
            <w:proofErr w:type="spellEnd"/>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7CF2478F" w14:textId="3473B8AC" w:rsidR="00DA272B" w:rsidRPr="007504E6" w:rsidRDefault="00DA272B" w:rsidP="00DA272B">
            <w:pPr>
              <w:spacing w:line="240" w:lineRule="auto"/>
              <w:ind w:firstLine="0"/>
              <w:jc w:val="left"/>
              <w:rPr>
                <w:rFonts w:ascii="Times New Roman" w:eastAsia="Times New Roman" w:hAnsi="Times New Roman" w:cs="Times New Roman"/>
                <w:color w:val="000000"/>
                <w:lang w:val="en-GB" w:eastAsia="lv-LV"/>
              </w:rPr>
            </w:pPr>
            <w:r w:rsidRPr="007504E6">
              <w:rPr>
                <w:lang w:val="en-GB"/>
              </w:rPr>
              <w:t>Chairman of the Board</w:t>
            </w:r>
          </w:p>
        </w:tc>
      </w:tr>
      <w:tr w:rsidR="00DA272B" w:rsidRPr="007504E6" w14:paraId="76F233DA" w14:textId="77777777" w:rsidTr="00CA542D">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088A2A" w14:textId="5BBB2B96" w:rsidR="00DA272B" w:rsidRPr="007504E6" w:rsidRDefault="00DA272B" w:rsidP="00DA272B">
            <w:pPr>
              <w:spacing w:line="240" w:lineRule="auto"/>
              <w:ind w:firstLine="0"/>
              <w:jc w:val="left"/>
              <w:rPr>
                <w:rFonts w:ascii="Times New Roman" w:eastAsia="Times New Roman" w:hAnsi="Times New Roman" w:cs="Times New Roman"/>
                <w:color w:val="000000"/>
                <w:lang w:val="en-GB" w:eastAsia="lv-LV"/>
              </w:rPr>
            </w:pPr>
            <w:r w:rsidRPr="007504E6">
              <w:rPr>
                <w:lang w:val="en-GB"/>
              </w:rPr>
              <w:t>SIA “</w:t>
            </w:r>
            <w:proofErr w:type="spellStart"/>
            <w:r w:rsidRPr="007504E6">
              <w:rPr>
                <w:lang w:val="en-GB"/>
              </w:rPr>
              <w:t>Rigensi</w:t>
            </w:r>
            <w:proofErr w:type="spellEnd"/>
            <w:r w:rsidRPr="007504E6">
              <w:rPr>
                <w:lang w:val="en-GB"/>
              </w:rPr>
              <w:t>”</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4EA95ABA" w14:textId="0A5B3E54" w:rsidR="00DA272B" w:rsidRPr="007504E6" w:rsidRDefault="00DA272B" w:rsidP="00DA272B">
            <w:pPr>
              <w:spacing w:line="240" w:lineRule="auto"/>
              <w:ind w:firstLine="0"/>
              <w:jc w:val="left"/>
              <w:rPr>
                <w:rFonts w:ascii="Times New Roman" w:eastAsia="Times New Roman" w:hAnsi="Times New Roman" w:cs="Times New Roman"/>
                <w:color w:val="000000"/>
                <w:lang w:val="en-GB" w:eastAsia="lv-LV"/>
              </w:rPr>
            </w:pPr>
            <w:r w:rsidRPr="007504E6">
              <w:rPr>
                <w:lang w:val="en-GB"/>
              </w:rPr>
              <w:t>Andris M a </w:t>
            </w:r>
            <w:proofErr w:type="spellStart"/>
            <w:r w:rsidRPr="007504E6">
              <w:rPr>
                <w:lang w:val="en-GB"/>
              </w:rPr>
              <w:t>čs</w:t>
            </w:r>
            <w:proofErr w:type="spellEnd"/>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520A79DF" w14:textId="73A52053" w:rsidR="00DA272B" w:rsidRPr="007504E6" w:rsidRDefault="00DA272B" w:rsidP="00DA272B">
            <w:pPr>
              <w:spacing w:line="240" w:lineRule="auto"/>
              <w:ind w:firstLine="0"/>
              <w:jc w:val="left"/>
              <w:rPr>
                <w:rFonts w:ascii="Times New Roman" w:eastAsia="Times New Roman" w:hAnsi="Times New Roman" w:cs="Times New Roman"/>
                <w:color w:val="000000"/>
                <w:lang w:val="en-GB" w:eastAsia="lv-LV"/>
              </w:rPr>
            </w:pPr>
            <w:r w:rsidRPr="007504E6">
              <w:rPr>
                <w:lang w:val="en-GB"/>
              </w:rPr>
              <w:t>Member of the Board</w:t>
            </w:r>
          </w:p>
        </w:tc>
      </w:tr>
      <w:tr w:rsidR="00DA272B" w:rsidRPr="007504E6" w14:paraId="13E5C5F0" w14:textId="77777777" w:rsidTr="00CA542D">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44BC3C37" w14:textId="3683F7FA" w:rsidR="00DA272B" w:rsidRPr="007504E6" w:rsidRDefault="00DA272B" w:rsidP="00DA272B">
            <w:pPr>
              <w:spacing w:line="240" w:lineRule="auto"/>
              <w:ind w:firstLine="0"/>
              <w:jc w:val="left"/>
              <w:rPr>
                <w:rFonts w:ascii="Times New Roman" w:eastAsia="Times New Roman" w:hAnsi="Times New Roman" w:cs="Times New Roman"/>
                <w:color w:val="000000"/>
                <w:lang w:val="en-GB" w:eastAsia="lv-LV"/>
              </w:rPr>
            </w:pPr>
            <w:r w:rsidRPr="007504E6">
              <w:rPr>
                <w:lang w:val="en-GB"/>
              </w:rPr>
              <w:t>SIA “</w:t>
            </w:r>
            <w:proofErr w:type="spellStart"/>
            <w:r w:rsidRPr="007504E6">
              <w:rPr>
                <w:lang w:val="en-GB"/>
              </w:rPr>
              <w:t>Zemgales</w:t>
            </w:r>
            <w:proofErr w:type="spellEnd"/>
            <w:r w:rsidRPr="007504E6">
              <w:rPr>
                <w:lang w:val="en-GB"/>
              </w:rPr>
              <w:t xml:space="preserve"> </w:t>
            </w:r>
            <w:proofErr w:type="spellStart"/>
            <w:r w:rsidRPr="007504E6">
              <w:rPr>
                <w:lang w:val="en-GB"/>
              </w:rPr>
              <w:t>Būvserviss</w:t>
            </w:r>
            <w:proofErr w:type="spellEnd"/>
            <w:r w:rsidRPr="007504E6">
              <w:rPr>
                <w:lang w:val="en-GB"/>
              </w:rPr>
              <w:t> ”</w:t>
            </w:r>
          </w:p>
        </w:tc>
        <w:tc>
          <w:tcPr>
            <w:tcW w:w="2268" w:type="dxa"/>
            <w:tcBorders>
              <w:top w:val="nil"/>
              <w:left w:val="nil"/>
              <w:bottom w:val="single" w:sz="4" w:space="0" w:color="auto"/>
              <w:right w:val="single" w:sz="4" w:space="0" w:color="auto"/>
            </w:tcBorders>
            <w:shd w:val="clear" w:color="auto" w:fill="auto"/>
            <w:noWrap/>
            <w:vAlign w:val="bottom"/>
            <w:hideMark/>
          </w:tcPr>
          <w:p w14:paraId="045ED3F0" w14:textId="35287547" w:rsidR="00DA272B" w:rsidRPr="007504E6" w:rsidRDefault="00DA272B" w:rsidP="00DA272B">
            <w:pPr>
              <w:spacing w:line="240" w:lineRule="auto"/>
              <w:ind w:firstLine="0"/>
              <w:jc w:val="left"/>
              <w:rPr>
                <w:rFonts w:ascii="Times New Roman" w:eastAsia="Times New Roman" w:hAnsi="Times New Roman" w:cs="Times New Roman"/>
                <w:color w:val="000000"/>
                <w:lang w:val="en-GB" w:eastAsia="lv-LV"/>
              </w:rPr>
            </w:pPr>
            <w:proofErr w:type="spellStart"/>
            <w:r w:rsidRPr="007504E6">
              <w:rPr>
                <w:lang w:val="en-GB"/>
              </w:rPr>
              <w:t>Zigmars</w:t>
            </w:r>
            <w:proofErr w:type="spellEnd"/>
            <w:r w:rsidRPr="007504E6">
              <w:rPr>
                <w:lang w:val="en-GB"/>
              </w:rPr>
              <w:t xml:space="preserve"> </w:t>
            </w:r>
            <w:proofErr w:type="spellStart"/>
            <w:r w:rsidRPr="007504E6">
              <w:rPr>
                <w:lang w:val="en-GB"/>
              </w:rPr>
              <w:t>Vaitaitis</w:t>
            </w:r>
            <w:proofErr w:type="spellEnd"/>
          </w:p>
        </w:tc>
        <w:tc>
          <w:tcPr>
            <w:tcW w:w="3543" w:type="dxa"/>
            <w:tcBorders>
              <w:top w:val="nil"/>
              <w:left w:val="nil"/>
              <w:bottom w:val="single" w:sz="4" w:space="0" w:color="auto"/>
              <w:right w:val="single" w:sz="4" w:space="0" w:color="auto"/>
            </w:tcBorders>
            <w:shd w:val="clear" w:color="auto" w:fill="auto"/>
            <w:noWrap/>
            <w:vAlign w:val="bottom"/>
            <w:hideMark/>
          </w:tcPr>
          <w:p w14:paraId="44F55C61" w14:textId="54CAE53F" w:rsidR="00DA272B" w:rsidRPr="007504E6" w:rsidRDefault="00DA272B" w:rsidP="00DA272B">
            <w:pPr>
              <w:spacing w:line="240" w:lineRule="auto"/>
              <w:ind w:firstLine="0"/>
              <w:jc w:val="left"/>
              <w:rPr>
                <w:rFonts w:ascii="Times New Roman" w:eastAsia="Times New Roman" w:hAnsi="Times New Roman" w:cs="Times New Roman"/>
                <w:color w:val="000000"/>
                <w:lang w:val="en-GB" w:eastAsia="lv-LV"/>
              </w:rPr>
            </w:pPr>
            <w:r w:rsidRPr="007504E6">
              <w:rPr>
                <w:lang w:val="en-GB"/>
              </w:rPr>
              <w:t>Member of the Board</w:t>
            </w:r>
          </w:p>
        </w:tc>
      </w:tr>
      <w:tr w:rsidR="00DA272B" w:rsidRPr="007504E6" w14:paraId="791FA6F3" w14:textId="77777777" w:rsidTr="00CA542D">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70E753B6" w14:textId="7DEF39F5" w:rsidR="00DA272B" w:rsidRPr="007504E6" w:rsidRDefault="00DA272B" w:rsidP="00DA272B">
            <w:pPr>
              <w:spacing w:line="240" w:lineRule="auto"/>
              <w:ind w:firstLine="0"/>
              <w:jc w:val="left"/>
              <w:rPr>
                <w:rFonts w:ascii="Times New Roman" w:eastAsia="Times New Roman" w:hAnsi="Times New Roman" w:cs="Times New Roman"/>
                <w:color w:val="000000"/>
                <w:lang w:val="en-GB" w:eastAsia="lv-LV"/>
              </w:rPr>
            </w:pPr>
            <w:proofErr w:type="spellStart"/>
            <w:r w:rsidRPr="007504E6">
              <w:rPr>
                <w:lang w:val="en-GB"/>
              </w:rPr>
              <w:t>Selfemployed</w:t>
            </w:r>
            <w:proofErr w:type="spellEnd"/>
          </w:p>
        </w:tc>
        <w:tc>
          <w:tcPr>
            <w:tcW w:w="2268" w:type="dxa"/>
            <w:tcBorders>
              <w:top w:val="nil"/>
              <w:left w:val="nil"/>
              <w:bottom w:val="single" w:sz="4" w:space="0" w:color="auto"/>
              <w:right w:val="single" w:sz="4" w:space="0" w:color="auto"/>
            </w:tcBorders>
            <w:shd w:val="clear" w:color="auto" w:fill="auto"/>
            <w:noWrap/>
            <w:vAlign w:val="bottom"/>
            <w:hideMark/>
          </w:tcPr>
          <w:p w14:paraId="758370EA" w14:textId="6350B253" w:rsidR="00DA272B" w:rsidRPr="007504E6" w:rsidRDefault="00DA272B" w:rsidP="00DA272B">
            <w:pPr>
              <w:spacing w:line="240" w:lineRule="auto"/>
              <w:ind w:firstLine="0"/>
              <w:jc w:val="left"/>
              <w:rPr>
                <w:rFonts w:ascii="Times New Roman" w:eastAsia="Times New Roman" w:hAnsi="Times New Roman" w:cs="Times New Roman"/>
                <w:color w:val="000000"/>
                <w:lang w:val="en-GB" w:eastAsia="lv-LV"/>
              </w:rPr>
            </w:pPr>
            <w:r w:rsidRPr="007504E6">
              <w:rPr>
                <w:lang w:val="en-GB"/>
              </w:rPr>
              <w:t xml:space="preserve">Sandris </w:t>
            </w:r>
            <w:proofErr w:type="spellStart"/>
            <w:r w:rsidRPr="007504E6">
              <w:rPr>
                <w:lang w:val="en-GB"/>
              </w:rPr>
              <w:t>Liepins</w:t>
            </w:r>
            <w:proofErr w:type="spellEnd"/>
          </w:p>
        </w:tc>
        <w:tc>
          <w:tcPr>
            <w:tcW w:w="3543" w:type="dxa"/>
            <w:tcBorders>
              <w:top w:val="nil"/>
              <w:left w:val="nil"/>
              <w:bottom w:val="single" w:sz="4" w:space="0" w:color="auto"/>
              <w:right w:val="single" w:sz="4" w:space="0" w:color="auto"/>
            </w:tcBorders>
            <w:shd w:val="clear" w:color="auto" w:fill="auto"/>
            <w:noWrap/>
            <w:vAlign w:val="bottom"/>
            <w:hideMark/>
          </w:tcPr>
          <w:p w14:paraId="4E8FAE54" w14:textId="13AFDE66" w:rsidR="00DA272B" w:rsidRPr="007504E6" w:rsidRDefault="00DA272B" w:rsidP="00DA272B">
            <w:pPr>
              <w:spacing w:line="240" w:lineRule="auto"/>
              <w:ind w:firstLine="0"/>
              <w:jc w:val="left"/>
              <w:rPr>
                <w:rFonts w:ascii="Times New Roman" w:eastAsia="Times New Roman" w:hAnsi="Times New Roman" w:cs="Times New Roman"/>
                <w:color w:val="000000"/>
                <w:lang w:val="en-GB" w:eastAsia="lv-LV"/>
              </w:rPr>
            </w:pPr>
            <w:r w:rsidRPr="007504E6">
              <w:rPr>
                <w:lang w:val="en-GB"/>
              </w:rPr>
              <w:t>B civil engineer</w:t>
            </w:r>
          </w:p>
        </w:tc>
      </w:tr>
      <w:tr w:rsidR="00DA272B" w:rsidRPr="007504E6" w14:paraId="518D4AB9" w14:textId="77777777" w:rsidTr="00CA542D">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4E54C1B2" w14:textId="7FCD0D87" w:rsidR="00DA272B" w:rsidRPr="007504E6" w:rsidRDefault="00DA272B" w:rsidP="00DA272B">
            <w:pPr>
              <w:spacing w:line="240" w:lineRule="auto"/>
              <w:ind w:firstLine="0"/>
              <w:jc w:val="left"/>
              <w:rPr>
                <w:rFonts w:ascii="Times New Roman" w:eastAsia="Times New Roman" w:hAnsi="Times New Roman" w:cs="Times New Roman"/>
                <w:color w:val="000000"/>
                <w:lang w:val="en-GB" w:eastAsia="lv-LV"/>
              </w:rPr>
            </w:pPr>
            <w:r w:rsidRPr="007504E6">
              <w:rPr>
                <w:lang w:val="en-GB"/>
              </w:rPr>
              <w:t>SIA “Baltic Construction Consultancy ”</w:t>
            </w:r>
          </w:p>
        </w:tc>
        <w:tc>
          <w:tcPr>
            <w:tcW w:w="2268" w:type="dxa"/>
            <w:tcBorders>
              <w:top w:val="nil"/>
              <w:left w:val="nil"/>
              <w:bottom w:val="single" w:sz="4" w:space="0" w:color="auto"/>
              <w:right w:val="single" w:sz="4" w:space="0" w:color="auto"/>
            </w:tcBorders>
            <w:shd w:val="clear" w:color="auto" w:fill="auto"/>
            <w:noWrap/>
            <w:vAlign w:val="bottom"/>
            <w:hideMark/>
          </w:tcPr>
          <w:p w14:paraId="2497A89A" w14:textId="17AD5B60" w:rsidR="00DA272B" w:rsidRPr="007504E6" w:rsidRDefault="00DA272B" w:rsidP="00DA272B">
            <w:pPr>
              <w:spacing w:line="240" w:lineRule="auto"/>
              <w:ind w:firstLine="0"/>
              <w:jc w:val="left"/>
              <w:rPr>
                <w:rFonts w:ascii="Times New Roman" w:eastAsia="Times New Roman" w:hAnsi="Times New Roman" w:cs="Times New Roman"/>
                <w:color w:val="000000"/>
                <w:lang w:val="en-GB" w:eastAsia="lv-LV"/>
              </w:rPr>
            </w:pPr>
            <w:r w:rsidRPr="007504E6">
              <w:rPr>
                <w:lang w:val="en-GB"/>
              </w:rPr>
              <w:t xml:space="preserve">Oscar </w:t>
            </w:r>
            <w:proofErr w:type="spellStart"/>
            <w:r w:rsidRPr="007504E6">
              <w:rPr>
                <w:lang w:val="en-GB"/>
              </w:rPr>
              <w:t>Lumpov</w:t>
            </w:r>
            <w:proofErr w:type="spellEnd"/>
          </w:p>
        </w:tc>
        <w:tc>
          <w:tcPr>
            <w:tcW w:w="3543" w:type="dxa"/>
            <w:tcBorders>
              <w:top w:val="nil"/>
              <w:left w:val="nil"/>
              <w:bottom w:val="single" w:sz="4" w:space="0" w:color="auto"/>
              <w:right w:val="single" w:sz="4" w:space="0" w:color="auto"/>
            </w:tcBorders>
            <w:shd w:val="clear" w:color="auto" w:fill="auto"/>
            <w:noWrap/>
            <w:vAlign w:val="bottom"/>
            <w:hideMark/>
          </w:tcPr>
          <w:p w14:paraId="692BD4BD" w14:textId="7D721749" w:rsidR="00DA272B" w:rsidRPr="007504E6" w:rsidRDefault="00DA272B" w:rsidP="00DA272B">
            <w:pPr>
              <w:spacing w:line="240" w:lineRule="auto"/>
              <w:ind w:firstLine="0"/>
              <w:jc w:val="left"/>
              <w:rPr>
                <w:rFonts w:ascii="Times New Roman" w:eastAsia="Times New Roman" w:hAnsi="Times New Roman" w:cs="Times New Roman"/>
                <w:color w:val="000000"/>
                <w:lang w:val="en-GB" w:eastAsia="lv-LV"/>
              </w:rPr>
            </w:pPr>
            <w:r w:rsidRPr="007504E6">
              <w:rPr>
                <w:lang w:val="en-GB"/>
              </w:rPr>
              <w:t>Member of the Board</w:t>
            </w:r>
          </w:p>
        </w:tc>
      </w:tr>
      <w:tr w:rsidR="00DA272B" w:rsidRPr="007504E6" w14:paraId="0447520A" w14:textId="77777777" w:rsidTr="00CA542D">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7F7F54C1" w14:textId="788D00D5" w:rsidR="00DA272B" w:rsidRPr="007504E6" w:rsidRDefault="00DA272B" w:rsidP="00DA272B">
            <w:pPr>
              <w:spacing w:line="240" w:lineRule="auto"/>
              <w:ind w:firstLine="0"/>
              <w:jc w:val="left"/>
              <w:rPr>
                <w:rFonts w:ascii="Times New Roman" w:eastAsia="Times New Roman" w:hAnsi="Times New Roman" w:cs="Times New Roman"/>
                <w:color w:val="000000"/>
                <w:lang w:val="en-GB" w:eastAsia="lv-LV"/>
              </w:rPr>
            </w:pPr>
            <w:r w:rsidRPr="007504E6">
              <w:rPr>
                <w:lang w:val="en-GB"/>
              </w:rPr>
              <w:t xml:space="preserve">SIA “Zehnder </w:t>
            </w:r>
            <w:proofErr w:type="spellStart"/>
            <w:r w:rsidRPr="007504E6">
              <w:rPr>
                <w:lang w:val="en-GB"/>
              </w:rPr>
              <w:t>Grupa</w:t>
            </w:r>
            <w:proofErr w:type="spellEnd"/>
            <w:r w:rsidRPr="007504E6">
              <w:rPr>
                <w:lang w:val="en-GB"/>
              </w:rPr>
              <w:t> ”</w:t>
            </w:r>
          </w:p>
        </w:tc>
        <w:tc>
          <w:tcPr>
            <w:tcW w:w="2268" w:type="dxa"/>
            <w:tcBorders>
              <w:top w:val="nil"/>
              <w:left w:val="nil"/>
              <w:bottom w:val="single" w:sz="4" w:space="0" w:color="auto"/>
              <w:right w:val="single" w:sz="4" w:space="0" w:color="auto"/>
            </w:tcBorders>
            <w:shd w:val="clear" w:color="auto" w:fill="auto"/>
            <w:noWrap/>
            <w:vAlign w:val="bottom"/>
            <w:hideMark/>
          </w:tcPr>
          <w:p w14:paraId="52E37ACE" w14:textId="32318C8A" w:rsidR="00DA272B" w:rsidRPr="007504E6" w:rsidRDefault="00DA272B" w:rsidP="00DA272B">
            <w:pPr>
              <w:spacing w:line="240" w:lineRule="auto"/>
              <w:ind w:firstLine="0"/>
              <w:jc w:val="left"/>
              <w:rPr>
                <w:rFonts w:ascii="Times New Roman" w:eastAsia="Times New Roman" w:hAnsi="Times New Roman" w:cs="Times New Roman"/>
                <w:color w:val="000000"/>
                <w:lang w:val="en-GB" w:eastAsia="lv-LV"/>
              </w:rPr>
            </w:pPr>
            <w:proofErr w:type="spellStart"/>
            <w:r w:rsidRPr="007504E6">
              <w:rPr>
                <w:lang w:val="en-GB"/>
              </w:rPr>
              <w:t>Rūdolfs</w:t>
            </w:r>
            <w:proofErr w:type="spellEnd"/>
            <w:r w:rsidRPr="007504E6">
              <w:rPr>
                <w:lang w:val="en-GB"/>
              </w:rPr>
              <w:t xml:space="preserve"> Birnbaums</w:t>
            </w:r>
          </w:p>
        </w:tc>
        <w:tc>
          <w:tcPr>
            <w:tcW w:w="3543" w:type="dxa"/>
            <w:tcBorders>
              <w:top w:val="nil"/>
              <w:left w:val="nil"/>
              <w:bottom w:val="single" w:sz="4" w:space="0" w:color="auto"/>
              <w:right w:val="single" w:sz="4" w:space="0" w:color="auto"/>
            </w:tcBorders>
            <w:shd w:val="clear" w:color="auto" w:fill="auto"/>
            <w:noWrap/>
            <w:vAlign w:val="bottom"/>
            <w:hideMark/>
          </w:tcPr>
          <w:p w14:paraId="7BEB1310" w14:textId="5DAAE74C" w:rsidR="00DA272B" w:rsidRPr="007504E6" w:rsidRDefault="00DA272B" w:rsidP="00DA272B">
            <w:pPr>
              <w:spacing w:line="240" w:lineRule="auto"/>
              <w:ind w:firstLine="0"/>
              <w:jc w:val="left"/>
              <w:rPr>
                <w:rFonts w:ascii="Times New Roman" w:eastAsia="Times New Roman" w:hAnsi="Times New Roman" w:cs="Times New Roman"/>
                <w:color w:val="000000"/>
                <w:lang w:val="en-GB" w:eastAsia="lv-LV"/>
              </w:rPr>
            </w:pPr>
            <w:r w:rsidRPr="007504E6">
              <w:rPr>
                <w:lang w:val="en-GB"/>
              </w:rPr>
              <w:t>Latvian Sales Manager</w:t>
            </w:r>
          </w:p>
        </w:tc>
      </w:tr>
      <w:tr w:rsidR="00DA272B" w:rsidRPr="007504E6" w14:paraId="13B7C918" w14:textId="77777777" w:rsidTr="00CA542D">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3F22FB9C" w14:textId="5465D0E8" w:rsidR="00DA272B" w:rsidRPr="007504E6" w:rsidRDefault="00DA272B" w:rsidP="00DA272B">
            <w:pPr>
              <w:spacing w:line="240" w:lineRule="auto"/>
              <w:ind w:firstLine="0"/>
              <w:jc w:val="left"/>
              <w:rPr>
                <w:rFonts w:ascii="Times New Roman" w:eastAsia="Times New Roman" w:hAnsi="Times New Roman" w:cs="Times New Roman"/>
                <w:color w:val="000000"/>
                <w:lang w:val="en-GB" w:eastAsia="lv-LV"/>
              </w:rPr>
            </w:pPr>
            <w:r w:rsidRPr="007504E6">
              <w:rPr>
                <w:lang w:val="en-GB"/>
              </w:rPr>
              <w:t>SIA “UPTK ”</w:t>
            </w:r>
          </w:p>
        </w:tc>
        <w:tc>
          <w:tcPr>
            <w:tcW w:w="2268" w:type="dxa"/>
            <w:tcBorders>
              <w:top w:val="nil"/>
              <w:left w:val="nil"/>
              <w:bottom w:val="single" w:sz="4" w:space="0" w:color="auto"/>
              <w:right w:val="single" w:sz="4" w:space="0" w:color="auto"/>
            </w:tcBorders>
            <w:shd w:val="clear" w:color="auto" w:fill="auto"/>
            <w:noWrap/>
            <w:vAlign w:val="bottom"/>
            <w:hideMark/>
          </w:tcPr>
          <w:p w14:paraId="3C1B6F6E" w14:textId="2D7B1C6E" w:rsidR="00DA272B" w:rsidRPr="007504E6" w:rsidRDefault="00DA272B" w:rsidP="00DA272B">
            <w:pPr>
              <w:spacing w:line="240" w:lineRule="auto"/>
              <w:ind w:firstLine="0"/>
              <w:jc w:val="left"/>
              <w:rPr>
                <w:rFonts w:ascii="Times New Roman" w:eastAsia="Times New Roman" w:hAnsi="Times New Roman" w:cs="Times New Roman"/>
                <w:color w:val="000000"/>
                <w:lang w:val="en-GB" w:eastAsia="lv-LV"/>
              </w:rPr>
            </w:pPr>
            <w:r w:rsidRPr="007504E6">
              <w:rPr>
                <w:lang w:val="en-GB"/>
              </w:rPr>
              <w:t>Juris Gulbis</w:t>
            </w:r>
          </w:p>
        </w:tc>
        <w:tc>
          <w:tcPr>
            <w:tcW w:w="3543" w:type="dxa"/>
            <w:tcBorders>
              <w:top w:val="nil"/>
              <w:left w:val="nil"/>
              <w:bottom w:val="single" w:sz="4" w:space="0" w:color="auto"/>
              <w:right w:val="single" w:sz="4" w:space="0" w:color="auto"/>
            </w:tcBorders>
            <w:shd w:val="clear" w:color="auto" w:fill="auto"/>
            <w:noWrap/>
            <w:vAlign w:val="bottom"/>
            <w:hideMark/>
          </w:tcPr>
          <w:p w14:paraId="038EAE0D" w14:textId="47CD0070" w:rsidR="00DA272B" w:rsidRPr="007504E6" w:rsidRDefault="00DA272B" w:rsidP="00DA272B">
            <w:pPr>
              <w:spacing w:line="240" w:lineRule="auto"/>
              <w:ind w:firstLine="0"/>
              <w:jc w:val="left"/>
              <w:rPr>
                <w:rFonts w:ascii="Times New Roman" w:eastAsia="Times New Roman" w:hAnsi="Times New Roman" w:cs="Times New Roman"/>
                <w:color w:val="000000"/>
                <w:lang w:val="en-GB" w:eastAsia="lv-LV"/>
              </w:rPr>
            </w:pPr>
            <w:r w:rsidRPr="007504E6">
              <w:rPr>
                <w:lang w:val="en-GB"/>
              </w:rPr>
              <w:t>Commercial Director</w:t>
            </w:r>
          </w:p>
        </w:tc>
      </w:tr>
    </w:tbl>
    <w:p w14:paraId="4DA3058C" w14:textId="0218984A" w:rsidR="005D2217" w:rsidRPr="007504E6" w:rsidRDefault="005D2217" w:rsidP="00F6038A">
      <w:pPr>
        <w:ind w:firstLine="0"/>
        <w:rPr>
          <w:rFonts w:ascii="Times New Roman" w:hAnsi="Times New Roman" w:cs="Times New Roman"/>
          <w:lang w:val="en-GB"/>
        </w:rPr>
      </w:pPr>
    </w:p>
    <w:p w14:paraId="78C80875" w14:textId="50F29065" w:rsidR="00A03D90" w:rsidRPr="007504E6" w:rsidRDefault="002A1159" w:rsidP="00D64210">
      <w:pPr>
        <w:pStyle w:val="Sarakstarindkopa"/>
        <w:numPr>
          <w:ilvl w:val="0"/>
          <w:numId w:val="23"/>
        </w:numPr>
        <w:rPr>
          <w:rFonts w:ascii="Times New Roman" w:hAnsi="Times New Roman" w:cs="Times New Roman"/>
          <w:lang w:val="en-GB"/>
        </w:rPr>
      </w:pPr>
      <w:r w:rsidRPr="007504E6">
        <w:rPr>
          <w:rFonts w:ascii="Times New Roman" w:hAnsi="Times New Roman" w:cs="Times New Roman"/>
          <w:lang w:val="en-GB"/>
        </w:rPr>
        <w:t>Construction sub-sectors of transport facilities (construction of roads and motorways, construction of railways and underground railways, construction of bridges and tunnels)</w:t>
      </w:r>
    </w:p>
    <w:tbl>
      <w:tblPr>
        <w:tblW w:w="9067" w:type="dxa"/>
        <w:tblLook w:val="04A0" w:firstRow="1" w:lastRow="0" w:firstColumn="1" w:lastColumn="0" w:noHBand="0" w:noVBand="1"/>
      </w:tblPr>
      <w:tblGrid>
        <w:gridCol w:w="3256"/>
        <w:gridCol w:w="1984"/>
        <w:gridCol w:w="3827"/>
      </w:tblGrid>
      <w:tr w:rsidR="00531E89" w:rsidRPr="007504E6" w14:paraId="409AECBB"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C982AA" w14:textId="610C32EA" w:rsidR="00531E89" w:rsidRPr="007504E6" w:rsidRDefault="00531E89" w:rsidP="00531E89">
            <w:pPr>
              <w:spacing w:line="240" w:lineRule="auto"/>
              <w:ind w:firstLine="0"/>
              <w:jc w:val="left"/>
              <w:rPr>
                <w:rFonts w:ascii="Times New Roman" w:eastAsia="Times New Roman" w:hAnsi="Times New Roman" w:cs="Times New Roman"/>
                <w:color w:val="000000"/>
                <w:lang w:val="en-GB" w:eastAsia="lv-LV"/>
              </w:rPr>
            </w:pPr>
            <w:r w:rsidRPr="007504E6">
              <w:rPr>
                <w:lang w:val="en-GB"/>
              </w:rPr>
              <w:t>Association "Latvian Road Builder "</w:t>
            </w: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01A67D57" w14:textId="3195DDE5" w:rsidR="00531E89" w:rsidRPr="007504E6" w:rsidRDefault="00531E89" w:rsidP="00531E89">
            <w:pPr>
              <w:spacing w:line="240" w:lineRule="auto"/>
              <w:ind w:firstLine="0"/>
              <w:jc w:val="left"/>
              <w:rPr>
                <w:rFonts w:ascii="Times New Roman" w:eastAsia="Times New Roman" w:hAnsi="Times New Roman" w:cs="Times New Roman"/>
                <w:color w:val="000000"/>
                <w:lang w:val="en-GB" w:eastAsia="lv-LV"/>
              </w:rPr>
            </w:pPr>
            <w:r w:rsidRPr="007504E6">
              <w:rPr>
                <w:lang w:val="en-GB"/>
              </w:rPr>
              <w:t>Andris Berzins</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B233451" w14:textId="101C5ADC" w:rsidR="00531E89" w:rsidRPr="007504E6" w:rsidRDefault="00531E89" w:rsidP="00531E89">
            <w:pPr>
              <w:spacing w:line="240" w:lineRule="auto"/>
              <w:ind w:firstLine="0"/>
              <w:jc w:val="left"/>
              <w:rPr>
                <w:rFonts w:ascii="Times New Roman" w:eastAsia="Times New Roman" w:hAnsi="Times New Roman" w:cs="Times New Roman"/>
                <w:color w:val="000000"/>
                <w:lang w:val="en-GB" w:eastAsia="lv-LV"/>
              </w:rPr>
            </w:pPr>
            <w:r w:rsidRPr="007504E6">
              <w:rPr>
                <w:lang w:val="en-GB"/>
              </w:rPr>
              <w:t>Chairman of the Board</w:t>
            </w:r>
          </w:p>
        </w:tc>
      </w:tr>
      <w:tr w:rsidR="00531E89" w:rsidRPr="007504E6" w14:paraId="58A97837"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B05894" w14:textId="11ECEA9E" w:rsidR="00531E89" w:rsidRPr="007504E6" w:rsidRDefault="00531E89" w:rsidP="00531E89">
            <w:pPr>
              <w:spacing w:line="240" w:lineRule="auto"/>
              <w:ind w:firstLine="0"/>
              <w:jc w:val="left"/>
              <w:rPr>
                <w:rFonts w:ascii="Times New Roman" w:eastAsia="Times New Roman" w:hAnsi="Times New Roman" w:cs="Times New Roman"/>
                <w:color w:val="000000"/>
                <w:lang w:val="en-GB" w:eastAsia="lv-LV"/>
              </w:rPr>
            </w:pPr>
            <w:r w:rsidRPr="007504E6">
              <w:rPr>
                <w:lang w:val="en-GB"/>
              </w:rPr>
              <w:t>Latvian State Roads, State Limited Liability Company</w:t>
            </w: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0242FE7C" w14:textId="6F0C2150" w:rsidR="00531E89" w:rsidRPr="007504E6" w:rsidRDefault="00531E89" w:rsidP="00531E89">
            <w:pPr>
              <w:spacing w:line="240" w:lineRule="auto"/>
              <w:ind w:firstLine="0"/>
              <w:jc w:val="left"/>
              <w:rPr>
                <w:rFonts w:ascii="Times New Roman" w:eastAsia="Times New Roman" w:hAnsi="Times New Roman" w:cs="Times New Roman"/>
                <w:color w:val="000000"/>
                <w:lang w:val="en-GB" w:eastAsia="lv-LV"/>
              </w:rPr>
            </w:pPr>
            <w:proofErr w:type="spellStart"/>
            <w:r w:rsidRPr="007504E6">
              <w:rPr>
                <w:lang w:val="en-GB"/>
              </w:rPr>
              <w:t>Mārtiņš</w:t>
            </w:r>
            <w:proofErr w:type="spellEnd"/>
            <w:r w:rsidRPr="007504E6">
              <w:rPr>
                <w:lang w:val="en-GB"/>
              </w:rPr>
              <w:t xml:space="preserve"> </w:t>
            </w:r>
            <w:proofErr w:type="spellStart"/>
            <w:r w:rsidRPr="007504E6">
              <w:rPr>
                <w:lang w:val="en-GB"/>
              </w:rPr>
              <w:t>Lazdovskis</w:t>
            </w:r>
            <w:proofErr w:type="spellEnd"/>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F2990EB" w14:textId="08EC28A7" w:rsidR="00531E89" w:rsidRPr="007504E6" w:rsidRDefault="00531E89" w:rsidP="00531E89">
            <w:pPr>
              <w:spacing w:line="240" w:lineRule="auto"/>
              <w:ind w:firstLine="0"/>
              <w:jc w:val="left"/>
              <w:rPr>
                <w:rFonts w:ascii="Times New Roman" w:eastAsia="Times New Roman" w:hAnsi="Times New Roman" w:cs="Times New Roman"/>
                <w:color w:val="000000"/>
                <w:lang w:val="en-GB" w:eastAsia="lv-LV"/>
              </w:rPr>
            </w:pPr>
            <w:r w:rsidRPr="007504E6">
              <w:rPr>
                <w:lang w:val="en-GB"/>
              </w:rPr>
              <w:t>Chairman of the Board</w:t>
            </w:r>
          </w:p>
        </w:tc>
      </w:tr>
      <w:tr w:rsidR="00531E89" w:rsidRPr="007504E6" w14:paraId="5A700800"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848A56" w14:textId="7AC7C328" w:rsidR="00531E89" w:rsidRPr="007504E6" w:rsidRDefault="00531E89" w:rsidP="00531E89">
            <w:pPr>
              <w:spacing w:line="240" w:lineRule="auto"/>
              <w:ind w:firstLine="0"/>
              <w:jc w:val="left"/>
              <w:rPr>
                <w:rFonts w:ascii="Times New Roman" w:eastAsia="Times New Roman" w:hAnsi="Times New Roman" w:cs="Times New Roman"/>
                <w:color w:val="000000"/>
                <w:lang w:val="en-GB" w:eastAsia="lv-LV"/>
              </w:rPr>
            </w:pPr>
            <w:r w:rsidRPr="007504E6">
              <w:rPr>
                <w:lang w:val="en-GB"/>
              </w:rPr>
              <w:t>SIA “</w:t>
            </w:r>
            <w:proofErr w:type="spellStart"/>
            <w:r w:rsidRPr="007504E6">
              <w:rPr>
                <w:lang w:val="en-GB"/>
              </w:rPr>
              <w:t>Limbažu</w:t>
            </w:r>
            <w:proofErr w:type="spellEnd"/>
            <w:r w:rsidRPr="007504E6">
              <w:rPr>
                <w:lang w:val="en-GB"/>
              </w:rPr>
              <w:t xml:space="preserve"> </w:t>
            </w:r>
            <w:proofErr w:type="spellStart"/>
            <w:r w:rsidRPr="007504E6">
              <w:rPr>
                <w:lang w:val="en-GB"/>
              </w:rPr>
              <w:t>ceļi</w:t>
            </w:r>
            <w:proofErr w:type="spellEnd"/>
            <w:r w:rsidRPr="007504E6">
              <w:rPr>
                <w:lang w:val="en-GB"/>
              </w:rPr>
              <w:t>”</w:t>
            </w: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54BBA4B6" w14:textId="763B1F51" w:rsidR="00531E89" w:rsidRPr="007504E6" w:rsidRDefault="00531E89" w:rsidP="00531E89">
            <w:pPr>
              <w:spacing w:line="240" w:lineRule="auto"/>
              <w:ind w:firstLine="0"/>
              <w:jc w:val="left"/>
              <w:rPr>
                <w:rFonts w:ascii="Times New Roman" w:eastAsia="Times New Roman" w:hAnsi="Times New Roman" w:cs="Times New Roman"/>
                <w:color w:val="000000"/>
                <w:lang w:val="en-GB" w:eastAsia="lv-LV"/>
              </w:rPr>
            </w:pPr>
            <w:r w:rsidRPr="007504E6">
              <w:rPr>
                <w:lang w:val="en-GB"/>
              </w:rPr>
              <w:t xml:space="preserve">Andris </w:t>
            </w:r>
            <w:proofErr w:type="spellStart"/>
            <w:r w:rsidRPr="007504E6">
              <w:rPr>
                <w:lang w:val="en-GB"/>
              </w:rPr>
              <w:t>Garklavs</w:t>
            </w:r>
            <w:proofErr w:type="spellEnd"/>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DAABF0C" w14:textId="46FE204F" w:rsidR="00531E89" w:rsidRPr="007504E6" w:rsidRDefault="00531E89" w:rsidP="00531E89">
            <w:pPr>
              <w:spacing w:line="240" w:lineRule="auto"/>
              <w:ind w:firstLine="0"/>
              <w:jc w:val="left"/>
              <w:rPr>
                <w:rFonts w:ascii="Times New Roman" w:eastAsia="Times New Roman" w:hAnsi="Times New Roman" w:cs="Times New Roman"/>
                <w:color w:val="000000"/>
                <w:lang w:val="en-GB" w:eastAsia="lv-LV"/>
              </w:rPr>
            </w:pPr>
            <w:r w:rsidRPr="007504E6">
              <w:rPr>
                <w:lang w:val="en-GB"/>
              </w:rPr>
              <w:t>Chairman of the Board</w:t>
            </w:r>
          </w:p>
        </w:tc>
      </w:tr>
      <w:tr w:rsidR="00531E89" w:rsidRPr="007504E6" w14:paraId="0397B7FB"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7AF0D87A" w14:textId="792425B7" w:rsidR="00531E89" w:rsidRPr="007504E6" w:rsidRDefault="00531E89" w:rsidP="00531E89">
            <w:pPr>
              <w:spacing w:line="240" w:lineRule="auto"/>
              <w:ind w:firstLine="0"/>
              <w:jc w:val="left"/>
              <w:rPr>
                <w:rFonts w:ascii="Times New Roman" w:eastAsia="Times New Roman" w:hAnsi="Times New Roman" w:cs="Times New Roman"/>
                <w:color w:val="000000"/>
                <w:lang w:val="en-GB" w:eastAsia="lv-LV"/>
              </w:rPr>
            </w:pPr>
            <w:r w:rsidRPr="007504E6">
              <w:rPr>
                <w:lang w:val="en-GB"/>
              </w:rPr>
              <w:t>SIA “MIKOR”</w:t>
            </w:r>
          </w:p>
        </w:tc>
        <w:tc>
          <w:tcPr>
            <w:tcW w:w="1984" w:type="dxa"/>
            <w:tcBorders>
              <w:top w:val="nil"/>
              <w:left w:val="nil"/>
              <w:bottom w:val="single" w:sz="4" w:space="0" w:color="auto"/>
              <w:right w:val="single" w:sz="4" w:space="0" w:color="auto"/>
            </w:tcBorders>
            <w:shd w:val="clear" w:color="auto" w:fill="auto"/>
            <w:noWrap/>
            <w:vAlign w:val="bottom"/>
            <w:hideMark/>
          </w:tcPr>
          <w:p w14:paraId="04ADBD0B" w14:textId="15C03AA1" w:rsidR="00531E89" w:rsidRPr="007504E6" w:rsidRDefault="00531E89" w:rsidP="00531E89">
            <w:pPr>
              <w:spacing w:line="240" w:lineRule="auto"/>
              <w:ind w:firstLine="0"/>
              <w:jc w:val="left"/>
              <w:rPr>
                <w:rFonts w:ascii="Times New Roman" w:eastAsia="Times New Roman" w:hAnsi="Times New Roman" w:cs="Times New Roman"/>
                <w:color w:val="000000"/>
                <w:lang w:val="en-GB" w:eastAsia="lv-LV"/>
              </w:rPr>
            </w:pPr>
            <w:proofErr w:type="spellStart"/>
            <w:r w:rsidRPr="007504E6">
              <w:rPr>
                <w:lang w:val="en-GB"/>
              </w:rPr>
              <w:t>Guntis</w:t>
            </w:r>
            <w:proofErr w:type="spellEnd"/>
            <w:r w:rsidRPr="007504E6">
              <w:rPr>
                <w:lang w:val="en-GB"/>
              </w:rPr>
              <w:t xml:space="preserve"> </w:t>
            </w:r>
            <w:proofErr w:type="spellStart"/>
            <w:r w:rsidRPr="007504E6">
              <w:rPr>
                <w:lang w:val="en-GB"/>
              </w:rPr>
              <w:t>Ozols</w:t>
            </w:r>
            <w:proofErr w:type="spellEnd"/>
          </w:p>
        </w:tc>
        <w:tc>
          <w:tcPr>
            <w:tcW w:w="3827" w:type="dxa"/>
            <w:tcBorders>
              <w:top w:val="nil"/>
              <w:left w:val="nil"/>
              <w:bottom w:val="single" w:sz="4" w:space="0" w:color="auto"/>
              <w:right w:val="single" w:sz="4" w:space="0" w:color="auto"/>
            </w:tcBorders>
            <w:shd w:val="clear" w:color="auto" w:fill="auto"/>
            <w:noWrap/>
            <w:vAlign w:val="bottom"/>
            <w:hideMark/>
          </w:tcPr>
          <w:p w14:paraId="1839FC7B" w14:textId="6269F116" w:rsidR="00531E89" w:rsidRPr="007504E6" w:rsidRDefault="00531E89" w:rsidP="00531E89">
            <w:pPr>
              <w:spacing w:line="240" w:lineRule="auto"/>
              <w:ind w:firstLine="0"/>
              <w:jc w:val="left"/>
              <w:rPr>
                <w:rFonts w:ascii="Times New Roman" w:eastAsia="Times New Roman" w:hAnsi="Times New Roman" w:cs="Times New Roman"/>
                <w:color w:val="000000"/>
                <w:lang w:val="en-GB" w:eastAsia="lv-LV"/>
              </w:rPr>
            </w:pPr>
            <w:r w:rsidRPr="007504E6">
              <w:rPr>
                <w:lang w:val="en-GB"/>
              </w:rPr>
              <w:t>Director</w:t>
            </w:r>
          </w:p>
        </w:tc>
      </w:tr>
      <w:tr w:rsidR="00531E89" w:rsidRPr="007504E6" w14:paraId="2C2A3283"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6E79BB9F" w14:textId="256A46A0" w:rsidR="00531E89" w:rsidRPr="007504E6" w:rsidRDefault="00531E89" w:rsidP="00531E89">
            <w:pPr>
              <w:spacing w:line="240" w:lineRule="auto"/>
              <w:ind w:firstLine="0"/>
              <w:jc w:val="left"/>
              <w:rPr>
                <w:rFonts w:ascii="Times New Roman" w:eastAsia="Times New Roman" w:hAnsi="Times New Roman" w:cs="Times New Roman"/>
                <w:color w:val="000000"/>
                <w:lang w:val="en-GB" w:eastAsia="lv-LV"/>
              </w:rPr>
            </w:pPr>
            <w:r w:rsidRPr="007504E6">
              <w:rPr>
                <w:lang w:val="en-GB"/>
              </w:rPr>
              <w:t>SIA “</w:t>
            </w:r>
            <w:proofErr w:type="spellStart"/>
            <w:r w:rsidRPr="007504E6">
              <w:rPr>
                <w:lang w:val="en-GB"/>
              </w:rPr>
              <w:t>Ostas</w:t>
            </w:r>
            <w:proofErr w:type="spellEnd"/>
            <w:r w:rsidRPr="007504E6">
              <w:rPr>
                <w:lang w:val="en-GB"/>
              </w:rPr>
              <w:t xml:space="preserve"> </w:t>
            </w:r>
            <w:proofErr w:type="spellStart"/>
            <w:r w:rsidRPr="007504E6">
              <w:rPr>
                <w:lang w:val="en-GB"/>
              </w:rPr>
              <w:t>celtnieks</w:t>
            </w:r>
            <w:proofErr w:type="spellEnd"/>
            <w:r w:rsidRPr="007504E6">
              <w:rPr>
                <w:lang w:val="en-GB"/>
              </w:rPr>
              <w:t>”</w:t>
            </w:r>
          </w:p>
        </w:tc>
        <w:tc>
          <w:tcPr>
            <w:tcW w:w="1984" w:type="dxa"/>
            <w:tcBorders>
              <w:top w:val="nil"/>
              <w:left w:val="nil"/>
              <w:bottom w:val="single" w:sz="4" w:space="0" w:color="auto"/>
              <w:right w:val="single" w:sz="4" w:space="0" w:color="auto"/>
            </w:tcBorders>
            <w:shd w:val="clear" w:color="auto" w:fill="auto"/>
            <w:noWrap/>
            <w:vAlign w:val="bottom"/>
            <w:hideMark/>
          </w:tcPr>
          <w:p w14:paraId="4F1FBFBE" w14:textId="09BF1DF3" w:rsidR="00531E89" w:rsidRPr="007504E6" w:rsidRDefault="00531E89" w:rsidP="00531E89">
            <w:pPr>
              <w:spacing w:line="240" w:lineRule="auto"/>
              <w:ind w:firstLine="0"/>
              <w:jc w:val="left"/>
              <w:rPr>
                <w:rFonts w:ascii="Times New Roman" w:eastAsia="Times New Roman" w:hAnsi="Times New Roman" w:cs="Times New Roman"/>
                <w:color w:val="000000"/>
                <w:lang w:val="en-GB" w:eastAsia="lv-LV"/>
              </w:rPr>
            </w:pPr>
            <w:r w:rsidRPr="007504E6">
              <w:rPr>
                <w:lang w:val="en-GB"/>
              </w:rPr>
              <w:t xml:space="preserve">Andris </w:t>
            </w:r>
            <w:proofErr w:type="spellStart"/>
            <w:r w:rsidRPr="007504E6">
              <w:rPr>
                <w:lang w:val="en-GB"/>
              </w:rPr>
              <w:t>Bukovskis</w:t>
            </w:r>
            <w:proofErr w:type="spellEnd"/>
          </w:p>
        </w:tc>
        <w:tc>
          <w:tcPr>
            <w:tcW w:w="3827" w:type="dxa"/>
            <w:tcBorders>
              <w:top w:val="nil"/>
              <w:left w:val="nil"/>
              <w:bottom w:val="single" w:sz="4" w:space="0" w:color="auto"/>
              <w:right w:val="single" w:sz="4" w:space="0" w:color="auto"/>
            </w:tcBorders>
            <w:shd w:val="clear" w:color="auto" w:fill="auto"/>
            <w:noWrap/>
            <w:vAlign w:val="bottom"/>
            <w:hideMark/>
          </w:tcPr>
          <w:p w14:paraId="100BB4F7" w14:textId="268A0586" w:rsidR="00531E89" w:rsidRPr="007504E6" w:rsidRDefault="00531E89" w:rsidP="00531E89">
            <w:pPr>
              <w:spacing w:line="240" w:lineRule="auto"/>
              <w:ind w:firstLine="0"/>
              <w:jc w:val="left"/>
              <w:rPr>
                <w:rFonts w:ascii="Times New Roman" w:eastAsia="Times New Roman" w:hAnsi="Times New Roman" w:cs="Times New Roman"/>
                <w:color w:val="000000"/>
                <w:lang w:val="en-GB" w:eastAsia="lv-LV"/>
              </w:rPr>
            </w:pPr>
            <w:r w:rsidRPr="007504E6">
              <w:rPr>
                <w:lang w:val="en-GB"/>
              </w:rPr>
              <w:t>Head of Development Department</w:t>
            </w:r>
          </w:p>
        </w:tc>
      </w:tr>
      <w:tr w:rsidR="00531E89" w:rsidRPr="007504E6" w14:paraId="262C7BBA" w14:textId="77777777" w:rsidTr="00CA542D">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tcPr>
          <w:p w14:paraId="69E089B4" w14:textId="5C96C21A" w:rsidR="00531E89" w:rsidRPr="007504E6" w:rsidRDefault="00531E89" w:rsidP="00531E89">
            <w:pPr>
              <w:spacing w:line="240" w:lineRule="auto"/>
              <w:ind w:firstLine="0"/>
              <w:jc w:val="left"/>
              <w:rPr>
                <w:rFonts w:ascii="Times New Roman" w:eastAsia="Times New Roman" w:hAnsi="Times New Roman" w:cs="Times New Roman"/>
                <w:color w:val="000000"/>
                <w:lang w:val="en-GB" w:eastAsia="lv-LV"/>
              </w:rPr>
            </w:pPr>
            <w:r w:rsidRPr="007504E6">
              <w:rPr>
                <w:lang w:val="en-GB"/>
              </w:rPr>
              <w:t>SIA “Juris </w:t>
            </w:r>
            <w:proofErr w:type="spellStart"/>
            <w:r w:rsidRPr="007504E6">
              <w:rPr>
                <w:lang w:val="en-GB"/>
              </w:rPr>
              <w:t>Rozīte</w:t>
            </w:r>
            <w:proofErr w:type="spellEnd"/>
            <w:r w:rsidRPr="007504E6">
              <w:rPr>
                <w:lang w:val="en-GB"/>
              </w:rPr>
              <w:t>”</w:t>
            </w:r>
          </w:p>
        </w:tc>
        <w:tc>
          <w:tcPr>
            <w:tcW w:w="1984" w:type="dxa"/>
            <w:tcBorders>
              <w:top w:val="nil"/>
              <w:left w:val="nil"/>
              <w:bottom w:val="single" w:sz="4" w:space="0" w:color="auto"/>
              <w:right w:val="single" w:sz="4" w:space="0" w:color="auto"/>
            </w:tcBorders>
            <w:shd w:val="clear" w:color="auto" w:fill="auto"/>
            <w:noWrap/>
            <w:vAlign w:val="bottom"/>
          </w:tcPr>
          <w:p w14:paraId="660FAE7B" w14:textId="2FED48F9" w:rsidR="00531E89" w:rsidRPr="007504E6" w:rsidRDefault="00531E89" w:rsidP="00531E89">
            <w:pPr>
              <w:spacing w:line="240" w:lineRule="auto"/>
              <w:ind w:firstLine="0"/>
              <w:jc w:val="left"/>
              <w:rPr>
                <w:rFonts w:ascii="Times New Roman" w:eastAsia="Times New Roman" w:hAnsi="Times New Roman" w:cs="Times New Roman"/>
                <w:color w:val="000000"/>
                <w:lang w:val="en-GB" w:eastAsia="lv-LV"/>
              </w:rPr>
            </w:pPr>
            <w:r w:rsidRPr="007504E6">
              <w:rPr>
                <w:lang w:val="en-GB"/>
              </w:rPr>
              <w:t>Juris Rozite</w:t>
            </w:r>
          </w:p>
        </w:tc>
        <w:tc>
          <w:tcPr>
            <w:tcW w:w="3827" w:type="dxa"/>
            <w:tcBorders>
              <w:top w:val="nil"/>
              <w:left w:val="nil"/>
              <w:bottom w:val="single" w:sz="4" w:space="0" w:color="auto"/>
              <w:right w:val="single" w:sz="4" w:space="0" w:color="auto"/>
            </w:tcBorders>
            <w:shd w:val="clear" w:color="auto" w:fill="auto"/>
            <w:noWrap/>
            <w:vAlign w:val="bottom"/>
          </w:tcPr>
          <w:p w14:paraId="02A59AB3" w14:textId="241FFE8B" w:rsidR="00531E89" w:rsidRPr="007504E6" w:rsidRDefault="00531E89" w:rsidP="00531E89">
            <w:pPr>
              <w:spacing w:line="240" w:lineRule="auto"/>
              <w:ind w:firstLine="0"/>
              <w:jc w:val="left"/>
              <w:rPr>
                <w:rFonts w:ascii="Times New Roman" w:eastAsia="Times New Roman" w:hAnsi="Times New Roman" w:cs="Times New Roman"/>
                <w:color w:val="000000"/>
                <w:lang w:val="en-GB" w:eastAsia="lv-LV"/>
              </w:rPr>
            </w:pPr>
            <w:r w:rsidRPr="007504E6">
              <w:rPr>
                <w:lang w:val="en-GB"/>
              </w:rPr>
              <w:t>Member of the Board</w:t>
            </w:r>
          </w:p>
        </w:tc>
      </w:tr>
      <w:tr w:rsidR="00531E89" w:rsidRPr="007504E6" w14:paraId="2B056E48"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2365ABA9" w14:textId="1EA140EE" w:rsidR="00531E89" w:rsidRPr="007504E6" w:rsidRDefault="00531E89" w:rsidP="00531E89">
            <w:pPr>
              <w:spacing w:line="240" w:lineRule="auto"/>
              <w:ind w:firstLine="0"/>
              <w:jc w:val="left"/>
              <w:rPr>
                <w:rFonts w:ascii="Times New Roman" w:eastAsia="Times New Roman" w:hAnsi="Times New Roman" w:cs="Times New Roman"/>
                <w:color w:val="000000"/>
                <w:lang w:val="en-GB" w:eastAsia="lv-LV"/>
              </w:rPr>
            </w:pPr>
            <w:r w:rsidRPr="007504E6">
              <w:rPr>
                <w:lang w:val="en-GB"/>
              </w:rPr>
              <w:t>SIA “Aqua-</w:t>
            </w:r>
            <w:proofErr w:type="spellStart"/>
            <w:r w:rsidRPr="007504E6">
              <w:rPr>
                <w:lang w:val="en-GB"/>
              </w:rPr>
              <w:t>Brambis</w:t>
            </w:r>
            <w:proofErr w:type="spellEnd"/>
            <w:r w:rsidRPr="007504E6">
              <w:rPr>
                <w:lang w:val="en-GB"/>
              </w:rPr>
              <w:t> ”</w:t>
            </w:r>
          </w:p>
        </w:tc>
        <w:tc>
          <w:tcPr>
            <w:tcW w:w="1984" w:type="dxa"/>
            <w:tcBorders>
              <w:top w:val="nil"/>
              <w:left w:val="nil"/>
              <w:bottom w:val="single" w:sz="4" w:space="0" w:color="auto"/>
              <w:right w:val="single" w:sz="4" w:space="0" w:color="auto"/>
            </w:tcBorders>
            <w:shd w:val="clear" w:color="auto" w:fill="auto"/>
            <w:noWrap/>
            <w:vAlign w:val="bottom"/>
            <w:hideMark/>
          </w:tcPr>
          <w:p w14:paraId="0E7729C5" w14:textId="7E9C1A0D" w:rsidR="00531E89" w:rsidRPr="007504E6" w:rsidRDefault="00531E89" w:rsidP="00531E89">
            <w:pPr>
              <w:spacing w:line="240" w:lineRule="auto"/>
              <w:ind w:firstLine="0"/>
              <w:jc w:val="left"/>
              <w:rPr>
                <w:rFonts w:ascii="Times New Roman" w:eastAsia="Times New Roman" w:hAnsi="Times New Roman" w:cs="Times New Roman"/>
                <w:color w:val="000000"/>
                <w:lang w:val="en-GB" w:eastAsia="lv-LV"/>
              </w:rPr>
            </w:pPr>
            <w:proofErr w:type="spellStart"/>
            <w:r w:rsidRPr="007504E6">
              <w:rPr>
                <w:lang w:val="en-GB"/>
              </w:rPr>
              <w:t>Aivars</w:t>
            </w:r>
            <w:proofErr w:type="spellEnd"/>
            <w:r w:rsidRPr="007504E6">
              <w:rPr>
                <w:lang w:val="en-GB"/>
              </w:rPr>
              <w:t xml:space="preserve"> </w:t>
            </w:r>
            <w:proofErr w:type="spellStart"/>
            <w:r w:rsidRPr="007504E6">
              <w:rPr>
                <w:lang w:val="en-GB"/>
              </w:rPr>
              <w:t>Brambis</w:t>
            </w:r>
            <w:proofErr w:type="spellEnd"/>
          </w:p>
        </w:tc>
        <w:tc>
          <w:tcPr>
            <w:tcW w:w="3827" w:type="dxa"/>
            <w:tcBorders>
              <w:top w:val="nil"/>
              <w:left w:val="nil"/>
              <w:bottom w:val="single" w:sz="4" w:space="0" w:color="auto"/>
              <w:right w:val="single" w:sz="4" w:space="0" w:color="auto"/>
            </w:tcBorders>
            <w:shd w:val="clear" w:color="auto" w:fill="auto"/>
            <w:noWrap/>
            <w:vAlign w:val="bottom"/>
            <w:hideMark/>
          </w:tcPr>
          <w:p w14:paraId="0C8A26F6" w14:textId="34E24EB5" w:rsidR="00531E89" w:rsidRPr="007504E6" w:rsidRDefault="00531E89" w:rsidP="00531E89">
            <w:pPr>
              <w:spacing w:line="240" w:lineRule="auto"/>
              <w:ind w:firstLine="0"/>
              <w:jc w:val="left"/>
              <w:rPr>
                <w:rFonts w:ascii="Times New Roman" w:eastAsia="Times New Roman" w:hAnsi="Times New Roman" w:cs="Times New Roman"/>
                <w:color w:val="000000"/>
                <w:lang w:val="en-GB" w:eastAsia="lv-LV"/>
              </w:rPr>
            </w:pPr>
            <w:r w:rsidRPr="007504E6">
              <w:rPr>
                <w:lang w:val="en-GB"/>
              </w:rPr>
              <w:t>Chairman of the Board</w:t>
            </w:r>
          </w:p>
        </w:tc>
      </w:tr>
    </w:tbl>
    <w:p w14:paraId="33C53D4F" w14:textId="77777777" w:rsidR="00A03D90" w:rsidRPr="007504E6" w:rsidRDefault="00A03D90" w:rsidP="00A03D90">
      <w:pPr>
        <w:ind w:firstLine="0"/>
        <w:rPr>
          <w:rFonts w:ascii="Times New Roman" w:hAnsi="Times New Roman" w:cs="Times New Roman"/>
          <w:lang w:val="en-GB"/>
        </w:rPr>
      </w:pPr>
    </w:p>
    <w:p w14:paraId="03FFD9D5" w14:textId="7FB7FBED" w:rsidR="005D2217" w:rsidRPr="007504E6" w:rsidRDefault="009448D3" w:rsidP="00D64210">
      <w:pPr>
        <w:pStyle w:val="Sarakstarindkopa"/>
        <w:numPr>
          <w:ilvl w:val="0"/>
          <w:numId w:val="23"/>
        </w:numPr>
        <w:rPr>
          <w:rFonts w:ascii="Times New Roman" w:hAnsi="Times New Roman" w:cs="Times New Roman"/>
          <w:lang w:val="en-GB"/>
        </w:rPr>
      </w:pPr>
      <w:r w:rsidRPr="007504E6">
        <w:rPr>
          <w:rFonts w:ascii="Times New Roman" w:hAnsi="Times New Roman" w:cs="Times New Roman"/>
          <w:lang w:val="en-GB"/>
        </w:rPr>
        <w:t>Construction sub-sector of urban infrastructure objects</w:t>
      </w:r>
    </w:p>
    <w:tbl>
      <w:tblPr>
        <w:tblW w:w="9067" w:type="dxa"/>
        <w:tblLook w:val="04A0" w:firstRow="1" w:lastRow="0" w:firstColumn="1" w:lastColumn="0" w:noHBand="0" w:noVBand="1"/>
      </w:tblPr>
      <w:tblGrid>
        <w:gridCol w:w="3256"/>
        <w:gridCol w:w="2060"/>
        <w:gridCol w:w="3751"/>
      </w:tblGrid>
      <w:tr w:rsidR="00231C7A" w:rsidRPr="007504E6" w14:paraId="2BB77DAA"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7B008C" w14:textId="1F7E0960" w:rsidR="00231C7A" w:rsidRPr="007504E6" w:rsidRDefault="00231C7A" w:rsidP="00231C7A">
            <w:pPr>
              <w:spacing w:line="240" w:lineRule="auto"/>
              <w:ind w:firstLine="0"/>
              <w:jc w:val="left"/>
              <w:rPr>
                <w:rFonts w:ascii="Times New Roman" w:eastAsia="Times New Roman" w:hAnsi="Times New Roman" w:cs="Times New Roman"/>
                <w:color w:val="000000"/>
                <w:lang w:val="en-GB" w:eastAsia="lv-LV"/>
              </w:rPr>
            </w:pPr>
            <w:r w:rsidRPr="007504E6">
              <w:rPr>
                <w:lang w:val="en-GB"/>
              </w:rPr>
              <w:t>Latvian Association of Electricians and Power Engineers</w:t>
            </w:r>
          </w:p>
        </w:tc>
        <w:tc>
          <w:tcPr>
            <w:tcW w:w="2060" w:type="dxa"/>
            <w:tcBorders>
              <w:top w:val="single" w:sz="4" w:space="0" w:color="auto"/>
              <w:left w:val="nil"/>
              <w:bottom w:val="single" w:sz="4" w:space="0" w:color="auto"/>
              <w:right w:val="single" w:sz="4" w:space="0" w:color="auto"/>
            </w:tcBorders>
            <w:shd w:val="clear" w:color="auto" w:fill="auto"/>
            <w:noWrap/>
            <w:vAlign w:val="bottom"/>
          </w:tcPr>
          <w:p w14:paraId="3AD0E868" w14:textId="77567749" w:rsidR="00231C7A" w:rsidRPr="007504E6" w:rsidRDefault="00231C7A" w:rsidP="00231C7A">
            <w:pPr>
              <w:spacing w:line="240" w:lineRule="auto"/>
              <w:ind w:firstLine="0"/>
              <w:jc w:val="left"/>
              <w:rPr>
                <w:rFonts w:ascii="Times New Roman" w:eastAsia="Times New Roman" w:hAnsi="Times New Roman" w:cs="Times New Roman"/>
                <w:color w:val="000000"/>
                <w:lang w:val="en-GB" w:eastAsia="lv-LV"/>
              </w:rPr>
            </w:pPr>
            <w:r w:rsidRPr="007504E6">
              <w:rPr>
                <w:lang w:val="en-GB"/>
              </w:rPr>
              <w:t>Gunārs Valdmanis</w:t>
            </w:r>
          </w:p>
        </w:tc>
        <w:tc>
          <w:tcPr>
            <w:tcW w:w="3751" w:type="dxa"/>
            <w:tcBorders>
              <w:top w:val="single" w:sz="4" w:space="0" w:color="auto"/>
              <w:left w:val="nil"/>
              <w:bottom w:val="single" w:sz="4" w:space="0" w:color="auto"/>
              <w:right w:val="single" w:sz="4" w:space="0" w:color="auto"/>
            </w:tcBorders>
            <w:shd w:val="clear" w:color="auto" w:fill="auto"/>
            <w:noWrap/>
            <w:vAlign w:val="bottom"/>
          </w:tcPr>
          <w:p w14:paraId="7B70A6AF" w14:textId="51E00DE3" w:rsidR="00231C7A" w:rsidRPr="007504E6" w:rsidRDefault="00231C7A" w:rsidP="00231C7A">
            <w:pPr>
              <w:spacing w:line="240" w:lineRule="auto"/>
              <w:ind w:firstLine="0"/>
              <w:jc w:val="left"/>
              <w:rPr>
                <w:rFonts w:ascii="Times New Roman" w:eastAsia="Times New Roman" w:hAnsi="Times New Roman" w:cs="Times New Roman"/>
                <w:color w:val="000000"/>
                <w:lang w:val="en-GB" w:eastAsia="lv-LV"/>
              </w:rPr>
            </w:pPr>
            <w:r w:rsidRPr="007504E6">
              <w:rPr>
                <w:lang w:val="en-GB"/>
              </w:rPr>
              <w:t>I Executive Director</w:t>
            </w:r>
          </w:p>
        </w:tc>
      </w:tr>
      <w:tr w:rsidR="00231C7A" w:rsidRPr="007504E6" w14:paraId="368239BB"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852496" w14:textId="576AE7ED" w:rsidR="00231C7A" w:rsidRPr="007504E6" w:rsidRDefault="00231C7A" w:rsidP="00231C7A">
            <w:pPr>
              <w:spacing w:line="240" w:lineRule="auto"/>
              <w:ind w:firstLine="0"/>
              <w:jc w:val="left"/>
              <w:rPr>
                <w:rFonts w:ascii="Times New Roman" w:eastAsia="Times New Roman" w:hAnsi="Times New Roman" w:cs="Times New Roman"/>
                <w:color w:val="000000"/>
                <w:lang w:val="en-GB" w:eastAsia="lv-LV"/>
              </w:rPr>
            </w:pPr>
            <w:r w:rsidRPr="007504E6">
              <w:rPr>
                <w:lang w:val="en-GB"/>
              </w:rPr>
              <w:t>Association of Transport Engineers</w:t>
            </w:r>
          </w:p>
        </w:tc>
        <w:tc>
          <w:tcPr>
            <w:tcW w:w="2060" w:type="dxa"/>
            <w:tcBorders>
              <w:top w:val="single" w:sz="4" w:space="0" w:color="auto"/>
              <w:left w:val="nil"/>
              <w:bottom w:val="single" w:sz="4" w:space="0" w:color="auto"/>
              <w:right w:val="single" w:sz="4" w:space="0" w:color="auto"/>
            </w:tcBorders>
            <w:shd w:val="clear" w:color="auto" w:fill="auto"/>
            <w:noWrap/>
            <w:vAlign w:val="bottom"/>
          </w:tcPr>
          <w:p w14:paraId="05D976A5" w14:textId="14CB312D" w:rsidR="00231C7A" w:rsidRPr="007504E6" w:rsidRDefault="00231C7A" w:rsidP="00231C7A">
            <w:pPr>
              <w:spacing w:line="240" w:lineRule="auto"/>
              <w:ind w:firstLine="0"/>
              <w:jc w:val="left"/>
              <w:rPr>
                <w:rFonts w:ascii="Times New Roman" w:eastAsia="Times New Roman" w:hAnsi="Times New Roman" w:cs="Times New Roman"/>
                <w:color w:val="000000"/>
                <w:lang w:val="en-GB" w:eastAsia="lv-LV"/>
              </w:rPr>
            </w:pPr>
            <w:r w:rsidRPr="007504E6">
              <w:rPr>
                <w:lang w:val="en-GB"/>
              </w:rPr>
              <w:t>Mārtiņš Liepiņš</w:t>
            </w:r>
          </w:p>
        </w:tc>
        <w:tc>
          <w:tcPr>
            <w:tcW w:w="3751" w:type="dxa"/>
            <w:tcBorders>
              <w:top w:val="single" w:sz="4" w:space="0" w:color="auto"/>
              <w:left w:val="nil"/>
              <w:bottom w:val="single" w:sz="4" w:space="0" w:color="auto"/>
              <w:right w:val="single" w:sz="4" w:space="0" w:color="auto"/>
            </w:tcBorders>
            <w:shd w:val="clear" w:color="auto" w:fill="auto"/>
            <w:noWrap/>
            <w:vAlign w:val="bottom"/>
          </w:tcPr>
          <w:p w14:paraId="02A95DDB" w14:textId="3D92E9F7" w:rsidR="00231C7A" w:rsidRPr="007504E6" w:rsidRDefault="00231C7A" w:rsidP="00231C7A">
            <w:pPr>
              <w:spacing w:line="240" w:lineRule="auto"/>
              <w:ind w:firstLine="0"/>
              <w:jc w:val="left"/>
              <w:rPr>
                <w:rFonts w:ascii="Times New Roman" w:eastAsia="Times New Roman" w:hAnsi="Times New Roman" w:cs="Times New Roman"/>
                <w:color w:val="000000"/>
                <w:lang w:val="en-GB" w:eastAsia="lv-LV"/>
              </w:rPr>
            </w:pPr>
            <w:r w:rsidRPr="007504E6">
              <w:rPr>
                <w:lang w:val="en-GB"/>
              </w:rPr>
              <w:t>Chairman of the Board</w:t>
            </w:r>
          </w:p>
        </w:tc>
      </w:tr>
      <w:tr w:rsidR="00231C7A" w:rsidRPr="007504E6" w14:paraId="38429043"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B1B774" w14:textId="093DC346" w:rsidR="00231C7A" w:rsidRPr="007504E6" w:rsidRDefault="00231C7A" w:rsidP="00231C7A">
            <w:pPr>
              <w:spacing w:line="240" w:lineRule="auto"/>
              <w:ind w:firstLine="0"/>
              <w:jc w:val="left"/>
              <w:rPr>
                <w:rFonts w:ascii="Times New Roman" w:eastAsia="Times New Roman" w:hAnsi="Times New Roman" w:cs="Times New Roman"/>
                <w:color w:val="000000"/>
                <w:lang w:val="en-GB" w:eastAsia="lv-LV"/>
              </w:rPr>
            </w:pPr>
            <w:r w:rsidRPr="007504E6">
              <w:rPr>
                <w:lang w:val="en-GB"/>
              </w:rPr>
              <w:t>Ogre County Construction Board</w:t>
            </w:r>
          </w:p>
        </w:tc>
        <w:tc>
          <w:tcPr>
            <w:tcW w:w="2060" w:type="dxa"/>
            <w:tcBorders>
              <w:top w:val="single" w:sz="4" w:space="0" w:color="auto"/>
              <w:left w:val="nil"/>
              <w:bottom w:val="single" w:sz="4" w:space="0" w:color="auto"/>
              <w:right w:val="single" w:sz="4" w:space="0" w:color="auto"/>
            </w:tcBorders>
            <w:shd w:val="clear" w:color="auto" w:fill="auto"/>
            <w:noWrap/>
            <w:vAlign w:val="bottom"/>
          </w:tcPr>
          <w:p w14:paraId="06D7B616" w14:textId="3C08B741" w:rsidR="00231C7A" w:rsidRPr="007504E6" w:rsidRDefault="00231C7A" w:rsidP="00231C7A">
            <w:pPr>
              <w:spacing w:line="240" w:lineRule="auto"/>
              <w:ind w:firstLine="0"/>
              <w:jc w:val="left"/>
              <w:rPr>
                <w:rFonts w:ascii="Times New Roman" w:eastAsia="Times New Roman" w:hAnsi="Times New Roman" w:cs="Times New Roman"/>
                <w:color w:val="000000"/>
                <w:lang w:val="en-GB" w:eastAsia="lv-LV"/>
              </w:rPr>
            </w:pPr>
            <w:r w:rsidRPr="007504E6">
              <w:rPr>
                <w:lang w:val="en-GB"/>
              </w:rPr>
              <w:t>Raitis G </w:t>
            </w:r>
            <w:proofErr w:type="spellStart"/>
            <w:r w:rsidRPr="007504E6">
              <w:rPr>
                <w:lang w:val="en-GB"/>
              </w:rPr>
              <w:t>ultnieks</w:t>
            </w:r>
            <w:proofErr w:type="spellEnd"/>
          </w:p>
        </w:tc>
        <w:tc>
          <w:tcPr>
            <w:tcW w:w="3751" w:type="dxa"/>
            <w:tcBorders>
              <w:top w:val="single" w:sz="4" w:space="0" w:color="auto"/>
              <w:left w:val="nil"/>
              <w:bottom w:val="single" w:sz="4" w:space="0" w:color="auto"/>
              <w:right w:val="single" w:sz="4" w:space="0" w:color="auto"/>
            </w:tcBorders>
            <w:shd w:val="clear" w:color="auto" w:fill="auto"/>
            <w:noWrap/>
            <w:vAlign w:val="bottom"/>
          </w:tcPr>
          <w:p w14:paraId="1C710E69" w14:textId="1AC2F14F" w:rsidR="00231C7A" w:rsidRPr="007504E6" w:rsidRDefault="00231C7A" w:rsidP="00231C7A">
            <w:pPr>
              <w:spacing w:line="240" w:lineRule="auto"/>
              <w:ind w:firstLine="0"/>
              <w:jc w:val="left"/>
              <w:rPr>
                <w:rFonts w:ascii="Times New Roman" w:eastAsia="Times New Roman" w:hAnsi="Times New Roman" w:cs="Times New Roman"/>
                <w:color w:val="000000"/>
                <w:lang w:val="en-GB" w:eastAsia="lv-LV"/>
              </w:rPr>
            </w:pPr>
            <w:r w:rsidRPr="007504E6">
              <w:rPr>
                <w:lang w:val="en-GB"/>
              </w:rPr>
              <w:t>Chief construction inspector</w:t>
            </w:r>
          </w:p>
        </w:tc>
      </w:tr>
      <w:tr w:rsidR="00231C7A" w:rsidRPr="007504E6" w14:paraId="30BEE9C8"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E1ADE" w14:textId="0DD13441" w:rsidR="00231C7A" w:rsidRPr="007504E6" w:rsidRDefault="00231C7A" w:rsidP="00231C7A">
            <w:pPr>
              <w:spacing w:line="240" w:lineRule="auto"/>
              <w:ind w:firstLine="0"/>
              <w:jc w:val="left"/>
              <w:rPr>
                <w:rFonts w:ascii="Times New Roman" w:eastAsia="Times New Roman" w:hAnsi="Times New Roman" w:cs="Times New Roman"/>
                <w:color w:val="000000"/>
                <w:lang w:val="en-GB" w:eastAsia="lv-LV"/>
              </w:rPr>
            </w:pPr>
            <w:r w:rsidRPr="007504E6">
              <w:rPr>
                <w:lang w:val="en-GB"/>
              </w:rPr>
              <w:t>SIA “</w:t>
            </w:r>
            <w:proofErr w:type="spellStart"/>
            <w:r w:rsidRPr="007504E6">
              <w:rPr>
                <w:lang w:val="en-GB"/>
              </w:rPr>
              <w:t>Ditra</w:t>
            </w:r>
            <w:proofErr w:type="spellEnd"/>
            <w:r w:rsidRPr="007504E6">
              <w:rPr>
                <w:lang w:val="en-GB"/>
              </w:rPr>
              <w:t xml:space="preserve"> Networks”</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14:paraId="43098B2B" w14:textId="0BE614AC" w:rsidR="00231C7A" w:rsidRPr="007504E6" w:rsidRDefault="00231C7A" w:rsidP="00231C7A">
            <w:pPr>
              <w:spacing w:line="240" w:lineRule="auto"/>
              <w:ind w:firstLine="0"/>
              <w:jc w:val="left"/>
              <w:rPr>
                <w:rFonts w:ascii="Times New Roman" w:eastAsia="Times New Roman" w:hAnsi="Times New Roman" w:cs="Times New Roman"/>
                <w:color w:val="000000"/>
                <w:lang w:val="en-GB" w:eastAsia="lv-LV"/>
              </w:rPr>
            </w:pPr>
            <w:r w:rsidRPr="007504E6">
              <w:rPr>
                <w:lang w:val="en-GB"/>
              </w:rPr>
              <w:t xml:space="preserve">Yuri </w:t>
            </w:r>
            <w:proofErr w:type="spellStart"/>
            <w:r w:rsidRPr="007504E6">
              <w:rPr>
                <w:lang w:val="en-GB"/>
              </w:rPr>
              <w:t>Kokorevich</w:t>
            </w:r>
            <w:proofErr w:type="spellEnd"/>
          </w:p>
        </w:tc>
        <w:tc>
          <w:tcPr>
            <w:tcW w:w="3751" w:type="dxa"/>
            <w:tcBorders>
              <w:top w:val="single" w:sz="4" w:space="0" w:color="auto"/>
              <w:left w:val="nil"/>
              <w:bottom w:val="single" w:sz="4" w:space="0" w:color="auto"/>
              <w:right w:val="single" w:sz="4" w:space="0" w:color="auto"/>
            </w:tcBorders>
            <w:shd w:val="clear" w:color="auto" w:fill="auto"/>
            <w:noWrap/>
            <w:vAlign w:val="bottom"/>
            <w:hideMark/>
          </w:tcPr>
          <w:p w14:paraId="602CC643" w14:textId="5145D89D" w:rsidR="00231C7A" w:rsidRPr="007504E6" w:rsidRDefault="00231C7A" w:rsidP="00231C7A">
            <w:pPr>
              <w:spacing w:line="240" w:lineRule="auto"/>
              <w:ind w:firstLine="0"/>
              <w:jc w:val="left"/>
              <w:rPr>
                <w:rFonts w:ascii="Times New Roman" w:eastAsia="Times New Roman" w:hAnsi="Times New Roman" w:cs="Times New Roman"/>
                <w:color w:val="000000"/>
                <w:lang w:val="en-GB" w:eastAsia="lv-LV"/>
              </w:rPr>
            </w:pPr>
            <w:r w:rsidRPr="007504E6">
              <w:rPr>
                <w:lang w:val="en-GB"/>
              </w:rPr>
              <w:t>Chairman of the Board</w:t>
            </w:r>
          </w:p>
        </w:tc>
      </w:tr>
      <w:tr w:rsidR="00231C7A" w:rsidRPr="007504E6" w14:paraId="0757697D"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271B77A6" w14:textId="5FFF20E3" w:rsidR="00231C7A" w:rsidRPr="007504E6" w:rsidRDefault="00231C7A" w:rsidP="00231C7A">
            <w:pPr>
              <w:spacing w:line="240" w:lineRule="auto"/>
              <w:ind w:firstLine="0"/>
              <w:jc w:val="left"/>
              <w:rPr>
                <w:rFonts w:ascii="Times New Roman" w:eastAsia="Times New Roman" w:hAnsi="Times New Roman" w:cs="Times New Roman"/>
                <w:color w:val="000000"/>
                <w:lang w:val="en-GB" w:eastAsia="lv-LV"/>
              </w:rPr>
            </w:pPr>
            <w:r w:rsidRPr="007504E6">
              <w:rPr>
                <w:lang w:val="en-GB"/>
              </w:rPr>
              <w:t>SIA “ARČERS”</w:t>
            </w:r>
          </w:p>
        </w:tc>
        <w:tc>
          <w:tcPr>
            <w:tcW w:w="2060" w:type="dxa"/>
            <w:tcBorders>
              <w:top w:val="nil"/>
              <w:left w:val="nil"/>
              <w:bottom w:val="single" w:sz="4" w:space="0" w:color="auto"/>
              <w:right w:val="single" w:sz="4" w:space="0" w:color="auto"/>
            </w:tcBorders>
            <w:shd w:val="clear" w:color="auto" w:fill="auto"/>
            <w:noWrap/>
            <w:vAlign w:val="bottom"/>
            <w:hideMark/>
          </w:tcPr>
          <w:p w14:paraId="63C9D48C" w14:textId="538BDBE2" w:rsidR="00231C7A" w:rsidRPr="007504E6" w:rsidRDefault="00231C7A" w:rsidP="00231C7A">
            <w:pPr>
              <w:spacing w:line="240" w:lineRule="auto"/>
              <w:ind w:firstLine="0"/>
              <w:jc w:val="left"/>
              <w:rPr>
                <w:rFonts w:ascii="Times New Roman" w:eastAsia="Times New Roman" w:hAnsi="Times New Roman" w:cs="Times New Roman"/>
                <w:color w:val="000000"/>
                <w:lang w:val="en-GB" w:eastAsia="lv-LV"/>
              </w:rPr>
            </w:pPr>
            <w:proofErr w:type="spellStart"/>
            <w:r w:rsidRPr="007504E6">
              <w:rPr>
                <w:lang w:val="en-GB"/>
              </w:rPr>
              <w:t>Ravis</w:t>
            </w:r>
            <w:proofErr w:type="spellEnd"/>
            <w:r w:rsidRPr="007504E6">
              <w:rPr>
                <w:lang w:val="en-GB"/>
              </w:rPr>
              <w:t xml:space="preserve"> </w:t>
            </w:r>
            <w:proofErr w:type="spellStart"/>
            <w:r w:rsidRPr="007504E6">
              <w:rPr>
                <w:lang w:val="en-GB"/>
              </w:rPr>
              <w:t>Tautietis</w:t>
            </w:r>
            <w:proofErr w:type="spellEnd"/>
          </w:p>
        </w:tc>
        <w:tc>
          <w:tcPr>
            <w:tcW w:w="3751" w:type="dxa"/>
            <w:tcBorders>
              <w:top w:val="nil"/>
              <w:left w:val="nil"/>
              <w:bottom w:val="single" w:sz="4" w:space="0" w:color="auto"/>
              <w:right w:val="single" w:sz="4" w:space="0" w:color="auto"/>
            </w:tcBorders>
            <w:shd w:val="clear" w:color="auto" w:fill="auto"/>
            <w:noWrap/>
            <w:vAlign w:val="bottom"/>
            <w:hideMark/>
          </w:tcPr>
          <w:p w14:paraId="50EBF65F" w14:textId="55A68483" w:rsidR="00231C7A" w:rsidRPr="007504E6" w:rsidRDefault="00231C7A" w:rsidP="00231C7A">
            <w:pPr>
              <w:spacing w:line="240" w:lineRule="auto"/>
              <w:ind w:firstLine="0"/>
              <w:jc w:val="left"/>
              <w:rPr>
                <w:rFonts w:ascii="Times New Roman" w:eastAsia="Times New Roman" w:hAnsi="Times New Roman" w:cs="Times New Roman"/>
                <w:color w:val="000000"/>
                <w:lang w:val="en-GB" w:eastAsia="lv-LV"/>
              </w:rPr>
            </w:pPr>
            <w:r w:rsidRPr="007504E6">
              <w:rPr>
                <w:lang w:val="en-GB"/>
              </w:rPr>
              <w:t>Project manager</w:t>
            </w:r>
          </w:p>
        </w:tc>
      </w:tr>
      <w:tr w:rsidR="00231C7A" w:rsidRPr="007504E6" w14:paraId="3FD2094D"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765ABF5B" w14:textId="436020A1" w:rsidR="00231C7A" w:rsidRPr="007504E6" w:rsidRDefault="00231C7A" w:rsidP="00231C7A">
            <w:pPr>
              <w:spacing w:line="240" w:lineRule="auto"/>
              <w:ind w:firstLine="0"/>
              <w:jc w:val="left"/>
              <w:rPr>
                <w:rFonts w:ascii="Times New Roman" w:eastAsia="Times New Roman" w:hAnsi="Times New Roman" w:cs="Times New Roman"/>
                <w:color w:val="000000"/>
                <w:lang w:val="en-GB" w:eastAsia="lv-LV"/>
              </w:rPr>
            </w:pPr>
            <w:r w:rsidRPr="007504E6">
              <w:rPr>
                <w:lang w:val="en-GB"/>
              </w:rPr>
              <w:t>SIA Citrus Solutions</w:t>
            </w:r>
          </w:p>
        </w:tc>
        <w:tc>
          <w:tcPr>
            <w:tcW w:w="2060" w:type="dxa"/>
            <w:tcBorders>
              <w:top w:val="nil"/>
              <w:left w:val="nil"/>
              <w:bottom w:val="single" w:sz="4" w:space="0" w:color="auto"/>
              <w:right w:val="single" w:sz="4" w:space="0" w:color="auto"/>
            </w:tcBorders>
            <w:shd w:val="clear" w:color="auto" w:fill="auto"/>
            <w:noWrap/>
            <w:vAlign w:val="bottom"/>
            <w:hideMark/>
          </w:tcPr>
          <w:p w14:paraId="126BF541" w14:textId="33E84CBD" w:rsidR="00231C7A" w:rsidRPr="007504E6" w:rsidRDefault="00231C7A" w:rsidP="00231C7A">
            <w:pPr>
              <w:spacing w:line="240" w:lineRule="auto"/>
              <w:ind w:firstLine="0"/>
              <w:jc w:val="left"/>
              <w:rPr>
                <w:rFonts w:ascii="Times New Roman" w:eastAsia="Times New Roman" w:hAnsi="Times New Roman" w:cs="Times New Roman"/>
                <w:color w:val="000000"/>
                <w:lang w:val="en-GB" w:eastAsia="lv-LV"/>
              </w:rPr>
            </w:pPr>
            <w:r w:rsidRPr="007504E6">
              <w:rPr>
                <w:lang w:val="en-GB"/>
              </w:rPr>
              <w:t>Raimonds Gerbis</w:t>
            </w:r>
          </w:p>
        </w:tc>
        <w:tc>
          <w:tcPr>
            <w:tcW w:w="3751" w:type="dxa"/>
            <w:tcBorders>
              <w:top w:val="nil"/>
              <w:left w:val="nil"/>
              <w:bottom w:val="single" w:sz="4" w:space="0" w:color="auto"/>
              <w:right w:val="single" w:sz="4" w:space="0" w:color="auto"/>
            </w:tcBorders>
            <w:shd w:val="clear" w:color="auto" w:fill="auto"/>
            <w:noWrap/>
            <w:vAlign w:val="bottom"/>
            <w:hideMark/>
          </w:tcPr>
          <w:p w14:paraId="52AC875E" w14:textId="0A0E7455" w:rsidR="00231C7A" w:rsidRPr="007504E6" w:rsidRDefault="00231C7A" w:rsidP="00231C7A">
            <w:pPr>
              <w:spacing w:line="240" w:lineRule="auto"/>
              <w:ind w:firstLine="0"/>
              <w:jc w:val="left"/>
              <w:rPr>
                <w:rFonts w:ascii="Times New Roman" w:eastAsia="Times New Roman" w:hAnsi="Times New Roman" w:cs="Times New Roman"/>
                <w:color w:val="000000"/>
                <w:lang w:val="en-GB" w:eastAsia="lv-LV"/>
              </w:rPr>
            </w:pPr>
            <w:r w:rsidRPr="007504E6">
              <w:rPr>
                <w:lang w:val="en-GB"/>
              </w:rPr>
              <w:t>Director of the Service</w:t>
            </w:r>
          </w:p>
        </w:tc>
      </w:tr>
    </w:tbl>
    <w:p w14:paraId="68925A53" w14:textId="51A0111F" w:rsidR="005D2217" w:rsidRPr="007504E6" w:rsidRDefault="005D2217" w:rsidP="00F6038A">
      <w:pPr>
        <w:ind w:firstLine="0"/>
        <w:rPr>
          <w:rFonts w:ascii="Times New Roman" w:hAnsi="Times New Roman" w:cs="Times New Roman"/>
          <w:lang w:val="en-GB"/>
        </w:rPr>
      </w:pPr>
    </w:p>
    <w:p w14:paraId="04BDAC7B" w14:textId="38B96F71" w:rsidR="005D2217" w:rsidRPr="007504E6" w:rsidRDefault="009448D3" w:rsidP="00D64210">
      <w:pPr>
        <w:pStyle w:val="Sarakstarindkopa"/>
        <w:numPr>
          <w:ilvl w:val="0"/>
          <w:numId w:val="23"/>
        </w:numPr>
        <w:rPr>
          <w:rFonts w:ascii="Times New Roman" w:hAnsi="Times New Roman" w:cs="Times New Roman"/>
          <w:lang w:val="en-GB"/>
        </w:rPr>
      </w:pPr>
      <w:r w:rsidRPr="007504E6">
        <w:rPr>
          <w:rFonts w:ascii="Times New Roman" w:hAnsi="Times New Roman" w:cs="Times New Roman"/>
          <w:lang w:val="en-GB"/>
        </w:rPr>
        <w:t>Specialized construction sub-sector</w:t>
      </w:r>
    </w:p>
    <w:tbl>
      <w:tblPr>
        <w:tblW w:w="9067" w:type="dxa"/>
        <w:tblLook w:val="04A0" w:firstRow="1" w:lastRow="0" w:firstColumn="1" w:lastColumn="0" w:noHBand="0" w:noVBand="1"/>
      </w:tblPr>
      <w:tblGrid>
        <w:gridCol w:w="3256"/>
        <w:gridCol w:w="2060"/>
        <w:gridCol w:w="3751"/>
      </w:tblGrid>
      <w:tr w:rsidR="005F7982" w:rsidRPr="007504E6" w14:paraId="60C357B1"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2D133B" w14:textId="787DB019" w:rsidR="005F7982" w:rsidRPr="007504E6" w:rsidRDefault="005F7982" w:rsidP="005F7982">
            <w:pPr>
              <w:spacing w:line="240" w:lineRule="auto"/>
              <w:ind w:firstLine="0"/>
              <w:jc w:val="left"/>
              <w:rPr>
                <w:rFonts w:ascii="Times New Roman" w:eastAsia="Times New Roman" w:hAnsi="Times New Roman" w:cs="Times New Roman"/>
                <w:color w:val="000000"/>
                <w:lang w:val="en-GB" w:eastAsia="lv-LV"/>
              </w:rPr>
            </w:pPr>
            <w:r w:rsidRPr="007504E6">
              <w:rPr>
                <w:lang w:val="en-GB"/>
              </w:rPr>
              <w:t>Latvian Geotechnical Union</w:t>
            </w:r>
          </w:p>
        </w:tc>
        <w:tc>
          <w:tcPr>
            <w:tcW w:w="2060" w:type="dxa"/>
            <w:tcBorders>
              <w:top w:val="single" w:sz="4" w:space="0" w:color="auto"/>
              <w:left w:val="nil"/>
              <w:bottom w:val="single" w:sz="4" w:space="0" w:color="auto"/>
              <w:right w:val="single" w:sz="4" w:space="0" w:color="auto"/>
            </w:tcBorders>
            <w:shd w:val="clear" w:color="auto" w:fill="auto"/>
            <w:noWrap/>
            <w:vAlign w:val="bottom"/>
          </w:tcPr>
          <w:p w14:paraId="0D47B7E5" w14:textId="1F045947" w:rsidR="005F7982" w:rsidRPr="007504E6" w:rsidRDefault="005F7982" w:rsidP="005F7982">
            <w:pPr>
              <w:spacing w:line="240" w:lineRule="auto"/>
              <w:ind w:firstLine="0"/>
              <w:jc w:val="left"/>
              <w:rPr>
                <w:rFonts w:ascii="Times New Roman" w:eastAsia="Times New Roman" w:hAnsi="Times New Roman" w:cs="Times New Roman"/>
                <w:color w:val="000000"/>
                <w:lang w:val="en-GB" w:eastAsia="lv-LV"/>
              </w:rPr>
            </w:pPr>
            <w:r w:rsidRPr="007504E6">
              <w:rPr>
                <w:lang w:val="en-GB"/>
              </w:rPr>
              <w:t>Kaspars Bondars</w:t>
            </w:r>
          </w:p>
        </w:tc>
        <w:tc>
          <w:tcPr>
            <w:tcW w:w="3751" w:type="dxa"/>
            <w:tcBorders>
              <w:top w:val="single" w:sz="4" w:space="0" w:color="auto"/>
              <w:left w:val="nil"/>
              <w:bottom w:val="single" w:sz="4" w:space="0" w:color="auto"/>
              <w:right w:val="single" w:sz="4" w:space="0" w:color="auto"/>
            </w:tcBorders>
            <w:shd w:val="clear" w:color="auto" w:fill="auto"/>
            <w:noWrap/>
            <w:vAlign w:val="bottom"/>
          </w:tcPr>
          <w:p w14:paraId="13669087" w14:textId="2FED2374" w:rsidR="005F7982" w:rsidRPr="007504E6" w:rsidRDefault="005F7982" w:rsidP="005F7982">
            <w:pPr>
              <w:spacing w:line="240" w:lineRule="auto"/>
              <w:ind w:firstLine="0"/>
              <w:jc w:val="left"/>
              <w:rPr>
                <w:rFonts w:ascii="Times New Roman" w:eastAsia="Times New Roman" w:hAnsi="Times New Roman" w:cs="Times New Roman"/>
                <w:color w:val="000000"/>
                <w:lang w:val="en-GB" w:eastAsia="lv-LV"/>
              </w:rPr>
            </w:pPr>
            <w:r w:rsidRPr="007504E6">
              <w:rPr>
                <w:lang w:val="en-GB"/>
              </w:rPr>
              <w:t>Chairman of the Board</w:t>
            </w:r>
          </w:p>
        </w:tc>
      </w:tr>
      <w:tr w:rsidR="005F7982" w:rsidRPr="007504E6" w14:paraId="54820A0C"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EB72D" w14:textId="0D2DE38B" w:rsidR="005F7982" w:rsidRPr="007504E6" w:rsidRDefault="005F7982" w:rsidP="005F7982">
            <w:pPr>
              <w:spacing w:line="240" w:lineRule="auto"/>
              <w:ind w:firstLine="0"/>
              <w:jc w:val="left"/>
              <w:rPr>
                <w:rFonts w:ascii="Times New Roman" w:eastAsia="Times New Roman" w:hAnsi="Times New Roman" w:cs="Times New Roman"/>
                <w:color w:val="000000"/>
                <w:lang w:val="en-GB" w:eastAsia="lv-LV"/>
              </w:rPr>
            </w:pPr>
            <w:r w:rsidRPr="007504E6">
              <w:rPr>
                <w:lang w:val="en-GB"/>
              </w:rPr>
              <w:t>SIA “KULK”</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14:paraId="2B0619B5" w14:textId="484D9FD9" w:rsidR="005F7982" w:rsidRPr="007504E6" w:rsidRDefault="005F7982" w:rsidP="005F7982">
            <w:pPr>
              <w:spacing w:line="240" w:lineRule="auto"/>
              <w:ind w:firstLine="0"/>
              <w:jc w:val="left"/>
              <w:rPr>
                <w:rFonts w:ascii="Times New Roman" w:eastAsia="Times New Roman" w:hAnsi="Times New Roman" w:cs="Times New Roman"/>
                <w:color w:val="000000"/>
                <w:lang w:val="en-GB" w:eastAsia="lv-LV"/>
              </w:rPr>
            </w:pPr>
            <w:r w:rsidRPr="007504E6">
              <w:rPr>
                <w:lang w:val="en-GB"/>
              </w:rPr>
              <w:t xml:space="preserve">Edgars </w:t>
            </w:r>
            <w:proofErr w:type="spellStart"/>
            <w:r w:rsidRPr="007504E6">
              <w:rPr>
                <w:lang w:val="en-GB"/>
              </w:rPr>
              <w:t>Rihters</w:t>
            </w:r>
            <w:proofErr w:type="spellEnd"/>
          </w:p>
        </w:tc>
        <w:tc>
          <w:tcPr>
            <w:tcW w:w="3751" w:type="dxa"/>
            <w:tcBorders>
              <w:top w:val="single" w:sz="4" w:space="0" w:color="auto"/>
              <w:left w:val="nil"/>
              <w:bottom w:val="single" w:sz="4" w:space="0" w:color="auto"/>
              <w:right w:val="single" w:sz="4" w:space="0" w:color="auto"/>
            </w:tcBorders>
            <w:shd w:val="clear" w:color="auto" w:fill="auto"/>
            <w:noWrap/>
            <w:vAlign w:val="bottom"/>
            <w:hideMark/>
          </w:tcPr>
          <w:p w14:paraId="2414FEDC" w14:textId="6BD37624" w:rsidR="005F7982" w:rsidRPr="007504E6" w:rsidRDefault="005F7982" w:rsidP="005F7982">
            <w:pPr>
              <w:spacing w:line="240" w:lineRule="auto"/>
              <w:ind w:firstLine="0"/>
              <w:jc w:val="left"/>
              <w:rPr>
                <w:rFonts w:ascii="Times New Roman" w:eastAsia="Times New Roman" w:hAnsi="Times New Roman" w:cs="Times New Roman"/>
                <w:color w:val="000000"/>
                <w:lang w:val="en-GB" w:eastAsia="lv-LV"/>
              </w:rPr>
            </w:pPr>
            <w:r w:rsidRPr="007504E6">
              <w:rPr>
                <w:lang w:val="en-GB"/>
              </w:rPr>
              <w:t>Commercial Director</w:t>
            </w:r>
          </w:p>
        </w:tc>
      </w:tr>
      <w:tr w:rsidR="005F7982" w:rsidRPr="007504E6" w14:paraId="5AFF3572"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1BC85D2E" w14:textId="0547FC4F" w:rsidR="005F7982" w:rsidRPr="007504E6" w:rsidRDefault="005F7982" w:rsidP="005F7982">
            <w:pPr>
              <w:spacing w:line="240" w:lineRule="auto"/>
              <w:ind w:firstLine="0"/>
              <w:jc w:val="left"/>
              <w:rPr>
                <w:rFonts w:ascii="Times New Roman" w:eastAsia="Times New Roman" w:hAnsi="Times New Roman" w:cs="Times New Roman"/>
                <w:color w:val="000000"/>
                <w:lang w:val="en-GB" w:eastAsia="lv-LV"/>
              </w:rPr>
            </w:pPr>
            <w:r w:rsidRPr="007504E6">
              <w:rPr>
                <w:lang w:val="en-GB"/>
              </w:rPr>
              <w:t>SIA “BIANT”</w:t>
            </w:r>
          </w:p>
        </w:tc>
        <w:tc>
          <w:tcPr>
            <w:tcW w:w="2060" w:type="dxa"/>
            <w:tcBorders>
              <w:top w:val="nil"/>
              <w:left w:val="nil"/>
              <w:bottom w:val="single" w:sz="4" w:space="0" w:color="auto"/>
              <w:right w:val="single" w:sz="4" w:space="0" w:color="auto"/>
            </w:tcBorders>
            <w:shd w:val="clear" w:color="auto" w:fill="auto"/>
            <w:noWrap/>
            <w:vAlign w:val="bottom"/>
            <w:hideMark/>
          </w:tcPr>
          <w:p w14:paraId="70AB79FC" w14:textId="6551BE28" w:rsidR="005F7982" w:rsidRPr="007504E6" w:rsidRDefault="005F7982" w:rsidP="005F7982">
            <w:pPr>
              <w:spacing w:line="240" w:lineRule="auto"/>
              <w:ind w:firstLine="0"/>
              <w:jc w:val="left"/>
              <w:rPr>
                <w:rFonts w:ascii="Times New Roman" w:eastAsia="Times New Roman" w:hAnsi="Times New Roman" w:cs="Times New Roman"/>
                <w:color w:val="000000"/>
                <w:lang w:val="en-GB" w:eastAsia="lv-LV"/>
              </w:rPr>
            </w:pPr>
            <w:r w:rsidRPr="007504E6">
              <w:rPr>
                <w:lang w:val="en-GB"/>
              </w:rPr>
              <w:t>Mikhail Kramarenko</w:t>
            </w:r>
          </w:p>
        </w:tc>
        <w:tc>
          <w:tcPr>
            <w:tcW w:w="3751" w:type="dxa"/>
            <w:tcBorders>
              <w:top w:val="nil"/>
              <w:left w:val="nil"/>
              <w:bottom w:val="single" w:sz="4" w:space="0" w:color="auto"/>
              <w:right w:val="single" w:sz="4" w:space="0" w:color="auto"/>
            </w:tcBorders>
            <w:shd w:val="clear" w:color="auto" w:fill="auto"/>
            <w:noWrap/>
            <w:vAlign w:val="bottom"/>
            <w:hideMark/>
          </w:tcPr>
          <w:p w14:paraId="7D73B54D" w14:textId="06D1A0F6" w:rsidR="005F7982" w:rsidRPr="007504E6" w:rsidRDefault="005F7982" w:rsidP="005F7982">
            <w:pPr>
              <w:spacing w:line="240" w:lineRule="auto"/>
              <w:ind w:firstLine="0"/>
              <w:jc w:val="left"/>
              <w:rPr>
                <w:rFonts w:ascii="Times New Roman" w:eastAsia="Times New Roman" w:hAnsi="Times New Roman" w:cs="Times New Roman"/>
                <w:color w:val="000000"/>
                <w:lang w:val="en-GB" w:eastAsia="lv-LV"/>
              </w:rPr>
            </w:pPr>
            <w:r w:rsidRPr="007504E6">
              <w:rPr>
                <w:lang w:val="en-GB"/>
              </w:rPr>
              <w:t>Member of the Board</w:t>
            </w:r>
          </w:p>
        </w:tc>
      </w:tr>
      <w:tr w:rsidR="005F7982" w:rsidRPr="007504E6" w14:paraId="573820A1"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0BB2349A" w14:textId="6494DED4" w:rsidR="005F7982" w:rsidRPr="007504E6" w:rsidRDefault="005F7982" w:rsidP="005F7982">
            <w:pPr>
              <w:spacing w:line="240" w:lineRule="auto"/>
              <w:ind w:firstLine="0"/>
              <w:jc w:val="left"/>
              <w:rPr>
                <w:rFonts w:ascii="Times New Roman" w:eastAsia="Times New Roman" w:hAnsi="Times New Roman" w:cs="Times New Roman"/>
                <w:color w:val="000000"/>
                <w:lang w:val="en-GB" w:eastAsia="lv-LV"/>
              </w:rPr>
            </w:pPr>
            <w:r w:rsidRPr="007504E6">
              <w:rPr>
                <w:lang w:val="en-GB"/>
              </w:rPr>
              <w:t>SIA “LAFIVENTS”</w:t>
            </w:r>
          </w:p>
        </w:tc>
        <w:tc>
          <w:tcPr>
            <w:tcW w:w="2060" w:type="dxa"/>
            <w:tcBorders>
              <w:top w:val="nil"/>
              <w:left w:val="nil"/>
              <w:bottom w:val="single" w:sz="4" w:space="0" w:color="auto"/>
              <w:right w:val="single" w:sz="4" w:space="0" w:color="auto"/>
            </w:tcBorders>
            <w:shd w:val="clear" w:color="auto" w:fill="auto"/>
            <w:noWrap/>
            <w:vAlign w:val="bottom"/>
            <w:hideMark/>
          </w:tcPr>
          <w:p w14:paraId="4E98B7C9" w14:textId="7050DCE0" w:rsidR="005F7982" w:rsidRPr="007504E6" w:rsidRDefault="005F7982" w:rsidP="005F7982">
            <w:pPr>
              <w:spacing w:line="240" w:lineRule="auto"/>
              <w:ind w:firstLine="0"/>
              <w:jc w:val="left"/>
              <w:rPr>
                <w:rFonts w:ascii="Times New Roman" w:eastAsia="Times New Roman" w:hAnsi="Times New Roman" w:cs="Times New Roman"/>
                <w:color w:val="000000"/>
                <w:lang w:val="en-GB" w:eastAsia="lv-LV"/>
              </w:rPr>
            </w:pPr>
            <w:r w:rsidRPr="007504E6">
              <w:rPr>
                <w:lang w:val="en-GB"/>
              </w:rPr>
              <w:t>Daina Kona</w:t>
            </w:r>
          </w:p>
        </w:tc>
        <w:tc>
          <w:tcPr>
            <w:tcW w:w="3751" w:type="dxa"/>
            <w:tcBorders>
              <w:top w:val="nil"/>
              <w:left w:val="nil"/>
              <w:bottom w:val="single" w:sz="4" w:space="0" w:color="auto"/>
              <w:right w:val="single" w:sz="4" w:space="0" w:color="auto"/>
            </w:tcBorders>
            <w:shd w:val="clear" w:color="auto" w:fill="auto"/>
            <w:noWrap/>
            <w:vAlign w:val="bottom"/>
            <w:hideMark/>
          </w:tcPr>
          <w:p w14:paraId="53CF6A91" w14:textId="654854DC" w:rsidR="005F7982" w:rsidRPr="007504E6" w:rsidRDefault="005F7982" w:rsidP="005F7982">
            <w:pPr>
              <w:spacing w:line="240" w:lineRule="auto"/>
              <w:ind w:firstLine="0"/>
              <w:jc w:val="left"/>
              <w:rPr>
                <w:rFonts w:ascii="Times New Roman" w:eastAsia="Times New Roman" w:hAnsi="Times New Roman" w:cs="Times New Roman"/>
                <w:color w:val="000000"/>
                <w:lang w:val="en-GB" w:eastAsia="lv-LV"/>
              </w:rPr>
            </w:pPr>
            <w:r w:rsidRPr="007504E6">
              <w:rPr>
                <w:lang w:val="en-GB"/>
              </w:rPr>
              <w:t>Member of the Board</w:t>
            </w:r>
          </w:p>
        </w:tc>
      </w:tr>
      <w:tr w:rsidR="005F7982" w:rsidRPr="007504E6" w14:paraId="577F5F47"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1F48A62B" w14:textId="221A181F" w:rsidR="005F7982" w:rsidRPr="007504E6" w:rsidRDefault="005F7982" w:rsidP="005F7982">
            <w:pPr>
              <w:spacing w:line="240" w:lineRule="auto"/>
              <w:ind w:firstLine="0"/>
              <w:jc w:val="left"/>
              <w:rPr>
                <w:rFonts w:ascii="Times New Roman" w:eastAsia="Times New Roman" w:hAnsi="Times New Roman" w:cs="Times New Roman"/>
                <w:color w:val="000000"/>
                <w:lang w:val="en-GB" w:eastAsia="lv-LV"/>
              </w:rPr>
            </w:pPr>
            <w:r w:rsidRPr="007504E6">
              <w:rPr>
                <w:lang w:val="en-GB"/>
              </w:rPr>
              <w:t>SIA “KORO BŪVE”</w:t>
            </w:r>
          </w:p>
        </w:tc>
        <w:tc>
          <w:tcPr>
            <w:tcW w:w="2060" w:type="dxa"/>
            <w:tcBorders>
              <w:top w:val="nil"/>
              <w:left w:val="nil"/>
              <w:bottom w:val="single" w:sz="4" w:space="0" w:color="auto"/>
              <w:right w:val="single" w:sz="4" w:space="0" w:color="auto"/>
            </w:tcBorders>
            <w:shd w:val="clear" w:color="auto" w:fill="auto"/>
            <w:noWrap/>
            <w:vAlign w:val="bottom"/>
            <w:hideMark/>
          </w:tcPr>
          <w:p w14:paraId="411B85C1" w14:textId="005AC703" w:rsidR="005F7982" w:rsidRPr="007504E6" w:rsidRDefault="005F7982" w:rsidP="005F7982">
            <w:pPr>
              <w:spacing w:line="240" w:lineRule="auto"/>
              <w:ind w:firstLine="0"/>
              <w:jc w:val="left"/>
              <w:rPr>
                <w:rFonts w:ascii="Times New Roman" w:eastAsia="Times New Roman" w:hAnsi="Times New Roman" w:cs="Times New Roman"/>
                <w:color w:val="000000"/>
                <w:lang w:val="en-GB" w:eastAsia="lv-LV"/>
              </w:rPr>
            </w:pPr>
            <w:proofErr w:type="spellStart"/>
            <w:r w:rsidRPr="007504E6">
              <w:rPr>
                <w:lang w:val="en-GB"/>
              </w:rPr>
              <w:t>Renārs</w:t>
            </w:r>
            <w:proofErr w:type="spellEnd"/>
            <w:r w:rsidRPr="007504E6">
              <w:rPr>
                <w:lang w:val="en-GB"/>
              </w:rPr>
              <w:t> S </w:t>
            </w:r>
            <w:proofErr w:type="spellStart"/>
            <w:r w:rsidRPr="007504E6">
              <w:rPr>
                <w:lang w:val="en-GB"/>
              </w:rPr>
              <w:t>kavronskis</w:t>
            </w:r>
            <w:proofErr w:type="spellEnd"/>
          </w:p>
        </w:tc>
        <w:tc>
          <w:tcPr>
            <w:tcW w:w="3751" w:type="dxa"/>
            <w:tcBorders>
              <w:top w:val="nil"/>
              <w:left w:val="nil"/>
              <w:bottom w:val="single" w:sz="4" w:space="0" w:color="auto"/>
              <w:right w:val="single" w:sz="4" w:space="0" w:color="auto"/>
            </w:tcBorders>
            <w:shd w:val="clear" w:color="auto" w:fill="auto"/>
            <w:noWrap/>
            <w:vAlign w:val="bottom"/>
            <w:hideMark/>
          </w:tcPr>
          <w:p w14:paraId="57E7178D" w14:textId="28D28CEF" w:rsidR="005F7982" w:rsidRPr="007504E6" w:rsidRDefault="005F7982" w:rsidP="005F7982">
            <w:pPr>
              <w:spacing w:line="240" w:lineRule="auto"/>
              <w:ind w:firstLine="0"/>
              <w:jc w:val="left"/>
              <w:rPr>
                <w:rFonts w:ascii="Times New Roman" w:eastAsia="Times New Roman" w:hAnsi="Times New Roman" w:cs="Times New Roman"/>
                <w:color w:val="000000"/>
                <w:lang w:val="en-GB" w:eastAsia="lv-LV"/>
              </w:rPr>
            </w:pPr>
            <w:r w:rsidRPr="007504E6">
              <w:rPr>
                <w:lang w:val="en-GB"/>
              </w:rPr>
              <w:t>Chairman of the Board</w:t>
            </w:r>
          </w:p>
        </w:tc>
      </w:tr>
      <w:tr w:rsidR="005F7982" w:rsidRPr="007504E6" w14:paraId="75EFCD9E"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3974874F" w14:textId="78FC8ED3" w:rsidR="005F7982" w:rsidRPr="007504E6" w:rsidRDefault="005F7982" w:rsidP="005F7982">
            <w:pPr>
              <w:spacing w:line="240" w:lineRule="auto"/>
              <w:ind w:firstLine="0"/>
              <w:jc w:val="left"/>
              <w:rPr>
                <w:rFonts w:ascii="Times New Roman" w:eastAsia="Times New Roman" w:hAnsi="Times New Roman" w:cs="Times New Roman"/>
                <w:color w:val="000000"/>
                <w:lang w:val="en-GB" w:eastAsia="lv-LV"/>
              </w:rPr>
            </w:pPr>
            <w:r w:rsidRPr="007504E6">
              <w:rPr>
                <w:lang w:val="en-GB"/>
              </w:rPr>
              <w:t>SIA “</w:t>
            </w:r>
            <w:proofErr w:type="spellStart"/>
            <w:r w:rsidRPr="007504E6">
              <w:rPr>
                <w:lang w:val="en-GB"/>
              </w:rPr>
              <w:t>Newcom</w:t>
            </w:r>
            <w:proofErr w:type="spellEnd"/>
            <w:r w:rsidRPr="007504E6">
              <w:rPr>
                <w:lang w:val="en-GB"/>
              </w:rPr>
              <w:t xml:space="preserve"> Construction”</w:t>
            </w:r>
          </w:p>
        </w:tc>
        <w:tc>
          <w:tcPr>
            <w:tcW w:w="2060" w:type="dxa"/>
            <w:tcBorders>
              <w:top w:val="nil"/>
              <w:left w:val="nil"/>
              <w:bottom w:val="single" w:sz="4" w:space="0" w:color="auto"/>
              <w:right w:val="single" w:sz="4" w:space="0" w:color="auto"/>
            </w:tcBorders>
            <w:shd w:val="clear" w:color="auto" w:fill="auto"/>
            <w:noWrap/>
            <w:vAlign w:val="bottom"/>
            <w:hideMark/>
          </w:tcPr>
          <w:p w14:paraId="4677C2CE" w14:textId="658BD231" w:rsidR="005F7982" w:rsidRPr="007504E6" w:rsidRDefault="005F7982" w:rsidP="005F7982">
            <w:pPr>
              <w:spacing w:line="240" w:lineRule="auto"/>
              <w:ind w:firstLine="0"/>
              <w:jc w:val="left"/>
              <w:rPr>
                <w:rFonts w:ascii="Times New Roman" w:eastAsia="Times New Roman" w:hAnsi="Times New Roman" w:cs="Times New Roman"/>
                <w:color w:val="000000"/>
                <w:lang w:val="en-GB" w:eastAsia="lv-LV"/>
              </w:rPr>
            </w:pPr>
            <w:proofErr w:type="spellStart"/>
            <w:r w:rsidRPr="007504E6">
              <w:rPr>
                <w:lang w:val="en-GB"/>
              </w:rPr>
              <w:t>Mārtiņš</w:t>
            </w:r>
            <w:proofErr w:type="spellEnd"/>
            <w:r w:rsidRPr="007504E6">
              <w:rPr>
                <w:lang w:val="en-GB"/>
              </w:rPr>
              <w:t xml:space="preserve"> </w:t>
            </w:r>
            <w:proofErr w:type="spellStart"/>
            <w:r w:rsidRPr="007504E6">
              <w:rPr>
                <w:lang w:val="en-GB"/>
              </w:rPr>
              <w:t>Bubens</w:t>
            </w:r>
            <w:proofErr w:type="spellEnd"/>
          </w:p>
        </w:tc>
        <w:tc>
          <w:tcPr>
            <w:tcW w:w="3751" w:type="dxa"/>
            <w:tcBorders>
              <w:top w:val="nil"/>
              <w:left w:val="nil"/>
              <w:bottom w:val="single" w:sz="4" w:space="0" w:color="auto"/>
              <w:right w:val="single" w:sz="4" w:space="0" w:color="auto"/>
            </w:tcBorders>
            <w:shd w:val="clear" w:color="auto" w:fill="auto"/>
            <w:noWrap/>
            <w:vAlign w:val="bottom"/>
            <w:hideMark/>
          </w:tcPr>
          <w:p w14:paraId="7B794242" w14:textId="457FCCD3" w:rsidR="005F7982" w:rsidRPr="007504E6" w:rsidRDefault="005F7982" w:rsidP="005F7982">
            <w:pPr>
              <w:spacing w:line="240" w:lineRule="auto"/>
              <w:ind w:firstLine="0"/>
              <w:jc w:val="left"/>
              <w:rPr>
                <w:rFonts w:ascii="Times New Roman" w:eastAsia="Times New Roman" w:hAnsi="Times New Roman" w:cs="Times New Roman"/>
                <w:color w:val="000000"/>
                <w:lang w:val="en-GB" w:eastAsia="lv-LV"/>
              </w:rPr>
            </w:pPr>
            <w:r w:rsidRPr="007504E6">
              <w:rPr>
                <w:lang w:val="en-GB"/>
              </w:rPr>
              <w:t>Chairman of the Board</w:t>
            </w:r>
          </w:p>
        </w:tc>
      </w:tr>
      <w:tr w:rsidR="005F7982" w:rsidRPr="007504E6" w14:paraId="54525226"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0BB0191E" w14:textId="7E07122A" w:rsidR="005F7982" w:rsidRPr="007504E6" w:rsidRDefault="005F7982" w:rsidP="005F7982">
            <w:pPr>
              <w:spacing w:line="240" w:lineRule="auto"/>
              <w:ind w:firstLine="0"/>
              <w:jc w:val="left"/>
              <w:rPr>
                <w:rFonts w:ascii="Times New Roman" w:eastAsia="Times New Roman" w:hAnsi="Times New Roman" w:cs="Times New Roman"/>
                <w:color w:val="000000"/>
                <w:lang w:val="en-GB" w:eastAsia="lv-LV"/>
              </w:rPr>
            </w:pPr>
            <w:r w:rsidRPr="007504E6">
              <w:rPr>
                <w:lang w:val="en-GB"/>
              </w:rPr>
              <w:t>SIA “Grobiņas SPMK”</w:t>
            </w:r>
          </w:p>
        </w:tc>
        <w:tc>
          <w:tcPr>
            <w:tcW w:w="2060" w:type="dxa"/>
            <w:tcBorders>
              <w:top w:val="nil"/>
              <w:left w:val="nil"/>
              <w:bottom w:val="single" w:sz="4" w:space="0" w:color="auto"/>
              <w:right w:val="single" w:sz="4" w:space="0" w:color="auto"/>
            </w:tcBorders>
            <w:shd w:val="clear" w:color="auto" w:fill="auto"/>
            <w:noWrap/>
            <w:vAlign w:val="bottom"/>
            <w:hideMark/>
          </w:tcPr>
          <w:p w14:paraId="7DC04AF8" w14:textId="6696CA0B" w:rsidR="005F7982" w:rsidRPr="007504E6" w:rsidRDefault="005F7982" w:rsidP="005F7982">
            <w:pPr>
              <w:spacing w:line="240" w:lineRule="auto"/>
              <w:ind w:firstLine="0"/>
              <w:jc w:val="left"/>
              <w:rPr>
                <w:rFonts w:ascii="Times New Roman" w:eastAsia="Times New Roman" w:hAnsi="Times New Roman" w:cs="Times New Roman"/>
                <w:color w:val="000000"/>
                <w:lang w:val="en-GB" w:eastAsia="lv-LV"/>
              </w:rPr>
            </w:pPr>
            <w:r w:rsidRPr="007504E6">
              <w:rPr>
                <w:lang w:val="en-GB"/>
              </w:rPr>
              <w:t>Ilgonis Jēčis</w:t>
            </w:r>
          </w:p>
        </w:tc>
        <w:tc>
          <w:tcPr>
            <w:tcW w:w="3751" w:type="dxa"/>
            <w:tcBorders>
              <w:top w:val="nil"/>
              <w:left w:val="nil"/>
              <w:bottom w:val="single" w:sz="4" w:space="0" w:color="auto"/>
              <w:right w:val="single" w:sz="4" w:space="0" w:color="auto"/>
            </w:tcBorders>
            <w:shd w:val="clear" w:color="auto" w:fill="auto"/>
            <w:noWrap/>
            <w:vAlign w:val="bottom"/>
            <w:hideMark/>
          </w:tcPr>
          <w:p w14:paraId="5508F957" w14:textId="66AB7DA0" w:rsidR="005F7982" w:rsidRPr="007504E6" w:rsidRDefault="005F7982" w:rsidP="005F7982">
            <w:pPr>
              <w:spacing w:line="240" w:lineRule="auto"/>
              <w:ind w:firstLine="0"/>
              <w:jc w:val="left"/>
              <w:rPr>
                <w:rFonts w:ascii="Times New Roman" w:eastAsia="Times New Roman" w:hAnsi="Times New Roman" w:cs="Times New Roman"/>
                <w:color w:val="000000"/>
                <w:lang w:val="en-GB" w:eastAsia="lv-LV"/>
              </w:rPr>
            </w:pPr>
            <w:r w:rsidRPr="007504E6">
              <w:rPr>
                <w:lang w:val="en-GB"/>
              </w:rPr>
              <w:t>Member of the Board</w:t>
            </w:r>
          </w:p>
        </w:tc>
      </w:tr>
    </w:tbl>
    <w:p w14:paraId="65969B14" w14:textId="5DC8434D" w:rsidR="005D2217" w:rsidRPr="007504E6" w:rsidRDefault="005D2217" w:rsidP="00F6038A">
      <w:pPr>
        <w:ind w:firstLine="0"/>
        <w:rPr>
          <w:rFonts w:ascii="Times New Roman" w:hAnsi="Times New Roman" w:cs="Times New Roman"/>
          <w:lang w:val="en-GB"/>
        </w:rPr>
      </w:pPr>
    </w:p>
    <w:p w14:paraId="66CAD688" w14:textId="3A4EA52E" w:rsidR="005D2217" w:rsidRPr="007504E6" w:rsidRDefault="009448D3" w:rsidP="00D64210">
      <w:pPr>
        <w:pStyle w:val="Sarakstarindkopa"/>
        <w:numPr>
          <w:ilvl w:val="0"/>
          <w:numId w:val="23"/>
        </w:numPr>
        <w:rPr>
          <w:rFonts w:ascii="Times New Roman" w:hAnsi="Times New Roman" w:cs="Times New Roman"/>
          <w:lang w:val="en-GB"/>
        </w:rPr>
      </w:pPr>
      <w:r w:rsidRPr="007504E6">
        <w:rPr>
          <w:rFonts w:ascii="Times New Roman" w:hAnsi="Times New Roman" w:cs="Times New Roman"/>
          <w:lang w:val="en-GB"/>
        </w:rPr>
        <w:t>Architectural and design services and technical testing and analysis sub-sectors</w:t>
      </w:r>
    </w:p>
    <w:tbl>
      <w:tblPr>
        <w:tblW w:w="9067" w:type="dxa"/>
        <w:tblLook w:val="04A0" w:firstRow="1" w:lastRow="0" w:firstColumn="1" w:lastColumn="0" w:noHBand="0" w:noVBand="1"/>
      </w:tblPr>
      <w:tblGrid>
        <w:gridCol w:w="3256"/>
        <w:gridCol w:w="2060"/>
        <w:gridCol w:w="3751"/>
      </w:tblGrid>
      <w:tr w:rsidR="005F7982" w:rsidRPr="007504E6" w14:paraId="5367E144"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47FE78" w14:textId="36B1FE65" w:rsidR="005F7982" w:rsidRPr="007504E6" w:rsidRDefault="005F7982" w:rsidP="005F7982">
            <w:pPr>
              <w:spacing w:line="240" w:lineRule="auto"/>
              <w:ind w:firstLine="0"/>
              <w:jc w:val="left"/>
              <w:rPr>
                <w:rFonts w:ascii="Times New Roman" w:eastAsia="Times New Roman" w:hAnsi="Times New Roman" w:cs="Times New Roman"/>
                <w:color w:val="000000"/>
                <w:lang w:val="en-GB" w:eastAsia="lv-LV"/>
              </w:rPr>
            </w:pPr>
            <w:r w:rsidRPr="007504E6">
              <w:rPr>
                <w:lang w:val="en-GB"/>
              </w:rPr>
              <w:t>Latvian Union of Architects</w:t>
            </w:r>
          </w:p>
        </w:tc>
        <w:tc>
          <w:tcPr>
            <w:tcW w:w="2060" w:type="dxa"/>
            <w:tcBorders>
              <w:top w:val="single" w:sz="4" w:space="0" w:color="auto"/>
              <w:left w:val="nil"/>
              <w:bottom w:val="single" w:sz="4" w:space="0" w:color="auto"/>
              <w:right w:val="single" w:sz="4" w:space="0" w:color="auto"/>
            </w:tcBorders>
            <w:shd w:val="clear" w:color="auto" w:fill="auto"/>
            <w:noWrap/>
            <w:vAlign w:val="bottom"/>
          </w:tcPr>
          <w:p w14:paraId="01FA258D" w14:textId="794A7DF2" w:rsidR="005F7982" w:rsidRPr="007504E6" w:rsidRDefault="005F7982" w:rsidP="005F7982">
            <w:pPr>
              <w:spacing w:line="240" w:lineRule="auto"/>
              <w:ind w:firstLine="0"/>
              <w:jc w:val="left"/>
              <w:rPr>
                <w:rFonts w:ascii="Times New Roman" w:eastAsia="Times New Roman" w:hAnsi="Times New Roman" w:cs="Times New Roman"/>
                <w:color w:val="000000"/>
                <w:lang w:val="en-GB" w:eastAsia="lv-LV"/>
              </w:rPr>
            </w:pPr>
            <w:proofErr w:type="spellStart"/>
            <w:r w:rsidRPr="007504E6">
              <w:rPr>
                <w:lang w:val="en-GB"/>
              </w:rPr>
              <w:t>Gatis</w:t>
            </w:r>
            <w:proofErr w:type="spellEnd"/>
            <w:r w:rsidRPr="007504E6">
              <w:rPr>
                <w:lang w:val="en-GB"/>
              </w:rPr>
              <w:t xml:space="preserve"> </w:t>
            </w:r>
            <w:proofErr w:type="spellStart"/>
            <w:r w:rsidRPr="007504E6">
              <w:rPr>
                <w:lang w:val="en-GB"/>
              </w:rPr>
              <w:t>Didrihsons</w:t>
            </w:r>
            <w:proofErr w:type="spellEnd"/>
          </w:p>
        </w:tc>
        <w:tc>
          <w:tcPr>
            <w:tcW w:w="3751" w:type="dxa"/>
            <w:tcBorders>
              <w:top w:val="single" w:sz="4" w:space="0" w:color="auto"/>
              <w:left w:val="nil"/>
              <w:bottom w:val="single" w:sz="4" w:space="0" w:color="auto"/>
              <w:right w:val="single" w:sz="4" w:space="0" w:color="auto"/>
            </w:tcBorders>
            <w:shd w:val="clear" w:color="auto" w:fill="auto"/>
            <w:noWrap/>
            <w:vAlign w:val="bottom"/>
          </w:tcPr>
          <w:p w14:paraId="747F5189" w14:textId="457E7021" w:rsidR="005F7982" w:rsidRPr="007504E6" w:rsidRDefault="005F7982" w:rsidP="005F7982">
            <w:pPr>
              <w:spacing w:line="240" w:lineRule="auto"/>
              <w:ind w:firstLine="0"/>
              <w:jc w:val="left"/>
              <w:rPr>
                <w:rFonts w:ascii="Times New Roman" w:eastAsia="Times New Roman" w:hAnsi="Times New Roman" w:cs="Times New Roman"/>
                <w:color w:val="000000"/>
                <w:lang w:val="en-GB" w:eastAsia="lv-LV"/>
              </w:rPr>
            </w:pPr>
            <w:r w:rsidRPr="007504E6">
              <w:rPr>
                <w:lang w:val="en-GB"/>
              </w:rPr>
              <w:t>The architect</w:t>
            </w:r>
          </w:p>
        </w:tc>
      </w:tr>
      <w:tr w:rsidR="005F7982" w:rsidRPr="007504E6" w14:paraId="5E330C73"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CCA2A3" w14:textId="0F33D4C0" w:rsidR="005F7982" w:rsidRPr="007504E6" w:rsidRDefault="005F7982" w:rsidP="005F7982">
            <w:pPr>
              <w:spacing w:line="240" w:lineRule="auto"/>
              <w:ind w:firstLine="0"/>
              <w:jc w:val="left"/>
              <w:rPr>
                <w:rFonts w:ascii="Times New Roman" w:eastAsia="Times New Roman" w:hAnsi="Times New Roman" w:cs="Times New Roman"/>
                <w:color w:val="000000"/>
                <w:lang w:val="en-GB" w:eastAsia="lv-LV"/>
              </w:rPr>
            </w:pPr>
            <w:proofErr w:type="spellStart"/>
            <w:r w:rsidRPr="007504E6">
              <w:rPr>
                <w:lang w:val="en-GB"/>
              </w:rPr>
              <w:t>Valmiera</w:t>
            </w:r>
            <w:proofErr w:type="spellEnd"/>
            <w:r w:rsidRPr="007504E6">
              <w:rPr>
                <w:lang w:val="en-GB"/>
              </w:rPr>
              <w:t xml:space="preserve"> city municipality</w:t>
            </w:r>
          </w:p>
        </w:tc>
        <w:tc>
          <w:tcPr>
            <w:tcW w:w="2060" w:type="dxa"/>
            <w:tcBorders>
              <w:top w:val="single" w:sz="4" w:space="0" w:color="auto"/>
              <w:left w:val="nil"/>
              <w:bottom w:val="single" w:sz="4" w:space="0" w:color="auto"/>
              <w:right w:val="single" w:sz="4" w:space="0" w:color="auto"/>
            </w:tcBorders>
            <w:shd w:val="clear" w:color="auto" w:fill="auto"/>
            <w:noWrap/>
            <w:vAlign w:val="bottom"/>
          </w:tcPr>
          <w:p w14:paraId="2A880F86" w14:textId="7FD6514D" w:rsidR="005F7982" w:rsidRPr="007504E6" w:rsidRDefault="005F7982" w:rsidP="005F7982">
            <w:pPr>
              <w:spacing w:line="240" w:lineRule="auto"/>
              <w:ind w:firstLine="0"/>
              <w:jc w:val="left"/>
              <w:rPr>
                <w:rFonts w:ascii="Times New Roman" w:eastAsia="Times New Roman" w:hAnsi="Times New Roman" w:cs="Times New Roman"/>
                <w:color w:val="000000"/>
                <w:lang w:val="en-GB" w:eastAsia="lv-LV"/>
              </w:rPr>
            </w:pPr>
            <w:r w:rsidRPr="007504E6">
              <w:rPr>
                <w:lang w:val="en-GB"/>
              </w:rPr>
              <w:t xml:space="preserve">Juris </w:t>
            </w:r>
            <w:proofErr w:type="spellStart"/>
            <w:r w:rsidRPr="007504E6">
              <w:rPr>
                <w:lang w:val="en-GB"/>
              </w:rPr>
              <w:t>Mellēns</w:t>
            </w:r>
            <w:proofErr w:type="spellEnd"/>
          </w:p>
        </w:tc>
        <w:tc>
          <w:tcPr>
            <w:tcW w:w="3751" w:type="dxa"/>
            <w:tcBorders>
              <w:top w:val="single" w:sz="4" w:space="0" w:color="auto"/>
              <w:left w:val="nil"/>
              <w:bottom w:val="single" w:sz="4" w:space="0" w:color="auto"/>
              <w:right w:val="single" w:sz="4" w:space="0" w:color="auto"/>
            </w:tcBorders>
            <w:shd w:val="clear" w:color="auto" w:fill="auto"/>
            <w:noWrap/>
            <w:vAlign w:val="bottom"/>
          </w:tcPr>
          <w:p w14:paraId="40C84605" w14:textId="1D4A852B" w:rsidR="005F7982" w:rsidRPr="007504E6" w:rsidRDefault="005F7982" w:rsidP="005F7982">
            <w:pPr>
              <w:spacing w:line="240" w:lineRule="auto"/>
              <w:ind w:firstLine="0"/>
              <w:jc w:val="left"/>
              <w:rPr>
                <w:rFonts w:ascii="Times New Roman" w:eastAsia="Times New Roman" w:hAnsi="Times New Roman" w:cs="Times New Roman"/>
                <w:color w:val="000000"/>
                <w:lang w:val="en-GB" w:eastAsia="lv-LV"/>
              </w:rPr>
            </w:pPr>
            <w:r w:rsidRPr="007504E6">
              <w:rPr>
                <w:lang w:val="en-GB"/>
              </w:rPr>
              <w:t>Construction inspector</w:t>
            </w:r>
          </w:p>
        </w:tc>
      </w:tr>
      <w:tr w:rsidR="005F7982" w:rsidRPr="007504E6" w14:paraId="1D4DAE03"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C9846E" w14:textId="06E31282" w:rsidR="005F7982" w:rsidRPr="007504E6" w:rsidRDefault="005F7982" w:rsidP="005F7982">
            <w:pPr>
              <w:spacing w:line="240" w:lineRule="auto"/>
              <w:ind w:firstLine="0"/>
              <w:jc w:val="left"/>
              <w:rPr>
                <w:rFonts w:ascii="Times New Roman" w:eastAsia="Times New Roman" w:hAnsi="Times New Roman" w:cs="Times New Roman"/>
                <w:color w:val="000000"/>
                <w:lang w:val="en-GB" w:eastAsia="lv-LV"/>
              </w:rPr>
            </w:pPr>
            <w:proofErr w:type="spellStart"/>
            <w:r w:rsidRPr="007504E6">
              <w:rPr>
                <w:lang w:val="en-GB"/>
              </w:rPr>
              <w:t>Ventspils</w:t>
            </w:r>
            <w:proofErr w:type="spellEnd"/>
            <w:r w:rsidRPr="007504E6">
              <w:rPr>
                <w:lang w:val="en-GB"/>
              </w:rPr>
              <w:t xml:space="preserve"> City Council</w:t>
            </w:r>
          </w:p>
        </w:tc>
        <w:tc>
          <w:tcPr>
            <w:tcW w:w="2060" w:type="dxa"/>
            <w:tcBorders>
              <w:top w:val="single" w:sz="4" w:space="0" w:color="auto"/>
              <w:left w:val="nil"/>
              <w:bottom w:val="single" w:sz="4" w:space="0" w:color="auto"/>
              <w:right w:val="single" w:sz="4" w:space="0" w:color="auto"/>
            </w:tcBorders>
            <w:shd w:val="clear" w:color="auto" w:fill="auto"/>
            <w:noWrap/>
            <w:vAlign w:val="bottom"/>
          </w:tcPr>
          <w:p w14:paraId="1AEA351F" w14:textId="37D7FC36" w:rsidR="005F7982" w:rsidRPr="007504E6" w:rsidRDefault="005F7982" w:rsidP="005F7982">
            <w:pPr>
              <w:spacing w:line="240" w:lineRule="auto"/>
              <w:ind w:firstLine="0"/>
              <w:jc w:val="left"/>
              <w:rPr>
                <w:rFonts w:ascii="Times New Roman" w:eastAsia="Times New Roman" w:hAnsi="Times New Roman" w:cs="Times New Roman"/>
                <w:color w:val="000000"/>
                <w:lang w:val="en-GB" w:eastAsia="lv-LV"/>
              </w:rPr>
            </w:pPr>
            <w:proofErr w:type="spellStart"/>
            <w:r w:rsidRPr="007504E6">
              <w:rPr>
                <w:lang w:val="en-GB"/>
              </w:rPr>
              <w:t>Lilita</w:t>
            </w:r>
            <w:proofErr w:type="spellEnd"/>
            <w:r w:rsidRPr="007504E6">
              <w:rPr>
                <w:lang w:val="en-GB"/>
              </w:rPr>
              <w:t xml:space="preserve"> </w:t>
            </w:r>
            <w:proofErr w:type="spellStart"/>
            <w:r w:rsidRPr="007504E6">
              <w:rPr>
                <w:lang w:val="en-GB"/>
              </w:rPr>
              <w:t>Zeltina</w:t>
            </w:r>
            <w:proofErr w:type="spellEnd"/>
          </w:p>
        </w:tc>
        <w:tc>
          <w:tcPr>
            <w:tcW w:w="3751" w:type="dxa"/>
            <w:tcBorders>
              <w:top w:val="single" w:sz="4" w:space="0" w:color="auto"/>
              <w:left w:val="nil"/>
              <w:bottom w:val="single" w:sz="4" w:space="0" w:color="auto"/>
              <w:right w:val="single" w:sz="4" w:space="0" w:color="auto"/>
            </w:tcBorders>
            <w:shd w:val="clear" w:color="auto" w:fill="auto"/>
            <w:noWrap/>
            <w:vAlign w:val="bottom"/>
          </w:tcPr>
          <w:p w14:paraId="2604B2D7" w14:textId="5B1311DC" w:rsidR="005F7982" w:rsidRPr="007504E6" w:rsidRDefault="005F7982" w:rsidP="005F7982">
            <w:pPr>
              <w:spacing w:line="240" w:lineRule="auto"/>
              <w:ind w:firstLine="0"/>
              <w:jc w:val="left"/>
              <w:rPr>
                <w:rFonts w:ascii="Times New Roman" w:eastAsia="Times New Roman" w:hAnsi="Times New Roman" w:cs="Times New Roman"/>
                <w:color w:val="000000"/>
                <w:lang w:val="en-GB" w:eastAsia="lv-LV"/>
              </w:rPr>
            </w:pPr>
            <w:proofErr w:type="spellStart"/>
            <w:r w:rsidRPr="007504E6">
              <w:rPr>
                <w:lang w:val="en-GB"/>
              </w:rPr>
              <w:t>Ventspils</w:t>
            </w:r>
            <w:proofErr w:type="spellEnd"/>
            <w:r w:rsidRPr="007504E6">
              <w:rPr>
                <w:lang w:val="en-GB"/>
              </w:rPr>
              <w:t xml:space="preserve"> city landscape architect</w:t>
            </w:r>
          </w:p>
        </w:tc>
      </w:tr>
      <w:tr w:rsidR="005F7982" w:rsidRPr="007504E6" w14:paraId="508F53A1"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B1E555" w14:textId="10C6DD8F" w:rsidR="005F7982" w:rsidRPr="007504E6" w:rsidRDefault="005F7982" w:rsidP="005F7982">
            <w:pPr>
              <w:spacing w:line="240" w:lineRule="auto"/>
              <w:ind w:firstLine="0"/>
              <w:jc w:val="left"/>
              <w:rPr>
                <w:rFonts w:ascii="Times New Roman" w:eastAsia="Times New Roman" w:hAnsi="Times New Roman" w:cs="Times New Roman"/>
                <w:color w:val="000000"/>
                <w:lang w:val="en-GB" w:eastAsia="lv-LV"/>
              </w:rPr>
            </w:pPr>
            <w:proofErr w:type="spellStart"/>
            <w:r w:rsidRPr="007504E6">
              <w:rPr>
                <w:lang w:val="en-GB"/>
              </w:rPr>
              <w:t>Kuldiga</w:t>
            </w:r>
            <w:proofErr w:type="spellEnd"/>
            <w:r w:rsidRPr="007504E6">
              <w:rPr>
                <w:lang w:val="en-GB"/>
              </w:rPr>
              <w:t xml:space="preserve"> municipality</w:t>
            </w:r>
          </w:p>
        </w:tc>
        <w:tc>
          <w:tcPr>
            <w:tcW w:w="2060" w:type="dxa"/>
            <w:tcBorders>
              <w:top w:val="single" w:sz="4" w:space="0" w:color="auto"/>
              <w:left w:val="nil"/>
              <w:bottom w:val="single" w:sz="4" w:space="0" w:color="auto"/>
              <w:right w:val="single" w:sz="4" w:space="0" w:color="auto"/>
            </w:tcBorders>
            <w:shd w:val="clear" w:color="auto" w:fill="auto"/>
            <w:noWrap/>
            <w:vAlign w:val="bottom"/>
          </w:tcPr>
          <w:p w14:paraId="50B7EFF4" w14:textId="6B86FD4C" w:rsidR="005F7982" w:rsidRPr="007504E6" w:rsidRDefault="005F7982" w:rsidP="005F7982">
            <w:pPr>
              <w:spacing w:line="240" w:lineRule="auto"/>
              <w:ind w:firstLine="0"/>
              <w:jc w:val="left"/>
              <w:rPr>
                <w:rFonts w:ascii="Times New Roman" w:eastAsia="Times New Roman" w:hAnsi="Times New Roman" w:cs="Times New Roman"/>
                <w:color w:val="000000"/>
                <w:lang w:val="en-GB" w:eastAsia="lv-LV"/>
              </w:rPr>
            </w:pPr>
            <w:r w:rsidRPr="007504E6">
              <w:rPr>
                <w:lang w:val="en-GB"/>
              </w:rPr>
              <w:t>Elīna Zīle</w:t>
            </w:r>
          </w:p>
        </w:tc>
        <w:tc>
          <w:tcPr>
            <w:tcW w:w="3751" w:type="dxa"/>
            <w:tcBorders>
              <w:top w:val="single" w:sz="4" w:space="0" w:color="auto"/>
              <w:left w:val="nil"/>
              <w:bottom w:val="single" w:sz="4" w:space="0" w:color="auto"/>
              <w:right w:val="single" w:sz="4" w:space="0" w:color="auto"/>
            </w:tcBorders>
            <w:shd w:val="clear" w:color="auto" w:fill="auto"/>
            <w:noWrap/>
            <w:vAlign w:val="bottom"/>
          </w:tcPr>
          <w:p w14:paraId="3B7D4A11" w14:textId="5891D516" w:rsidR="005F7982" w:rsidRPr="007504E6" w:rsidRDefault="005F7982" w:rsidP="005F7982">
            <w:pPr>
              <w:spacing w:line="240" w:lineRule="auto"/>
              <w:ind w:firstLine="0"/>
              <w:jc w:val="left"/>
              <w:rPr>
                <w:rFonts w:ascii="Times New Roman" w:eastAsia="Times New Roman" w:hAnsi="Times New Roman" w:cs="Times New Roman"/>
                <w:color w:val="000000"/>
                <w:lang w:val="en-GB" w:eastAsia="lv-LV"/>
              </w:rPr>
            </w:pPr>
            <w:r w:rsidRPr="007504E6">
              <w:rPr>
                <w:lang w:val="en-GB"/>
              </w:rPr>
              <w:t>Lead project manager, the Public Procurement Commission</w:t>
            </w:r>
          </w:p>
        </w:tc>
      </w:tr>
      <w:tr w:rsidR="005F7982" w:rsidRPr="007504E6" w14:paraId="3A8730D3"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D47B2" w14:textId="0FA9CE00" w:rsidR="005F7982" w:rsidRPr="007504E6" w:rsidRDefault="005F7982" w:rsidP="005F7982">
            <w:pPr>
              <w:spacing w:line="240" w:lineRule="auto"/>
              <w:ind w:firstLine="0"/>
              <w:jc w:val="left"/>
              <w:rPr>
                <w:rFonts w:ascii="Times New Roman" w:eastAsia="Times New Roman" w:hAnsi="Times New Roman" w:cs="Times New Roman"/>
                <w:color w:val="000000"/>
                <w:lang w:val="en-GB" w:eastAsia="lv-LV"/>
              </w:rPr>
            </w:pPr>
            <w:proofErr w:type="spellStart"/>
            <w:r w:rsidRPr="007504E6">
              <w:rPr>
                <w:lang w:val="en-GB"/>
              </w:rPr>
              <w:t>Selfemployed</w:t>
            </w:r>
            <w:proofErr w:type="spellEnd"/>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14:paraId="5B24643C" w14:textId="2B890C93" w:rsidR="005F7982" w:rsidRPr="007504E6" w:rsidRDefault="005F7982" w:rsidP="005F7982">
            <w:pPr>
              <w:spacing w:line="240" w:lineRule="auto"/>
              <w:ind w:firstLine="0"/>
              <w:jc w:val="left"/>
              <w:rPr>
                <w:rFonts w:ascii="Times New Roman" w:eastAsia="Times New Roman" w:hAnsi="Times New Roman" w:cs="Times New Roman"/>
                <w:color w:val="000000"/>
                <w:lang w:val="en-GB" w:eastAsia="lv-LV"/>
              </w:rPr>
            </w:pPr>
            <w:proofErr w:type="spellStart"/>
            <w:r w:rsidRPr="007504E6">
              <w:rPr>
                <w:lang w:val="en-GB"/>
              </w:rPr>
              <w:t>Līga</w:t>
            </w:r>
            <w:proofErr w:type="spellEnd"/>
            <w:r w:rsidRPr="007504E6">
              <w:rPr>
                <w:lang w:val="en-GB"/>
              </w:rPr>
              <w:t xml:space="preserve"> </w:t>
            </w:r>
            <w:proofErr w:type="spellStart"/>
            <w:r w:rsidRPr="007504E6">
              <w:rPr>
                <w:lang w:val="en-GB"/>
              </w:rPr>
              <w:t>Saulespurēna</w:t>
            </w:r>
            <w:proofErr w:type="spellEnd"/>
          </w:p>
        </w:tc>
        <w:tc>
          <w:tcPr>
            <w:tcW w:w="3751" w:type="dxa"/>
            <w:tcBorders>
              <w:top w:val="single" w:sz="4" w:space="0" w:color="auto"/>
              <w:left w:val="nil"/>
              <w:bottom w:val="single" w:sz="4" w:space="0" w:color="auto"/>
              <w:right w:val="single" w:sz="4" w:space="0" w:color="auto"/>
            </w:tcBorders>
            <w:shd w:val="clear" w:color="auto" w:fill="auto"/>
            <w:noWrap/>
            <w:vAlign w:val="bottom"/>
            <w:hideMark/>
          </w:tcPr>
          <w:p w14:paraId="1E263335" w14:textId="62F03EB8" w:rsidR="005F7982" w:rsidRPr="007504E6" w:rsidRDefault="00AE5B43" w:rsidP="005F7982">
            <w:pPr>
              <w:spacing w:line="240" w:lineRule="auto"/>
              <w:ind w:firstLine="0"/>
              <w:jc w:val="left"/>
              <w:rPr>
                <w:rFonts w:ascii="Times New Roman" w:eastAsia="Times New Roman" w:hAnsi="Times New Roman" w:cs="Times New Roman"/>
                <w:color w:val="000000"/>
                <w:lang w:val="en-GB" w:eastAsia="lv-LV"/>
              </w:rPr>
            </w:pPr>
            <w:r w:rsidRPr="007504E6">
              <w:rPr>
                <w:lang w:val="en-GB"/>
              </w:rPr>
              <w:t>Architect</w:t>
            </w:r>
          </w:p>
        </w:tc>
      </w:tr>
      <w:tr w:rsidR="005F7982" w:rsidRPr="007504E6" w14:paraId="105DC1B9"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592217AB" w14:textId="3AAACCEE" w:rsidR="005F7982" w:rsidRPr="007504E6" w:rsidRDefault="005F7982" w:rsidP="005F7982">
            <w:pPr>
              <w:spacing w:line="240" w:lineRule="auto"/>
              <w:ind w:firstLine="0"/>
              <w:jc w:val="left"/>
              <w:rPr>
                <w:rFonts w:ascii="Times New Roman" w:eastAsia="Times New Roman" w:hAnsi="Times New Roman" w:cs="Times New Roman"/>
                <w:color w:val="000000"/>
                <w:lang w:val="en-GB" w:eastAsia="lv-LV"/>
              </w:rPr>
            </w:pPr>
            <w:r w:rsidRPr="007504E6">
              <w:rPr>
                <w:lang w:val="en-GB"/>
              </w:rPr>
              <w:t>SIA “VIRTU”</w:t>
            </w:r>
          </w:p>
        </w:tc>
        <w:tc>
          <w:tcPr>
            <w:tcW w:w="2060" w:type="dxa"/>
            <w:tcBorders>
              <w:top w:val="nil"/>
              <w:left w:val="nil"/>
              <w:bottom w:val="single" w:sz="4" w:space="0" w:color="auto"/>
              <w:right w:val="single" w:sz="4" w:space="0" w:color="auto"/>
            </w:tcBorders>
            <w:shd w:val="clear" w:color="auto" w:fill="auto"/>
            <w:noWrap/>
            <w:vAlign w:val="bottom"/>
            <w:hideMark/>
          </w:tcPr>
          <w:p w14:paraId="0BF2E440" w14:textId="0DBB67FE" w:rsidR="005F7982" w:rsidRPr="007504E6" w:rsidRDefault="005F7982" w:rsidP="005F7982">
            <w:pPr>
              <w:spacing w:line="240" w:lineRule="auto"/>
              <w:ind w:firstLine="0"/>
              <w:jc w:val="left"/>
              <w:rPr>
                <w:rFonts w:ascii="Times New Roman" w:eastAsia="Times New Roman" w:hAnsi="Times New Roman" w:cs="Times New Roman"/>
                <w:color w:val="000000"/>
                <w:lang w:val="en-GB" w:eastAsia="lv-LV"/>
              </w:rPr>
            </w:pPr>
            <w:r w:rsidRPr="007504E6">
              <w:rPr>
                <w:lang w:val="en-GB"/>
              </w:rPr>
              <w:t xml:space="preserve">Anda </w:t>
            </w:r>
            <w:proofErr w:type="spellStart"/>
            <w:r w:rsidRPr="007504E6">
              <w:rPr>
                <w:lang w:val="en-GB"/>
              </w:rPr>
              <w:t>Kursiša</w:t>
            </w:r>
            <w:proofErr w:type="spellEnd"/>
          </w:p>
        </w:tc>
        <w:tc>
          <w:tcPr>
            <w:tcW w:w="3751" w:type="dxa"/>
            <w:tcBorders>
              <w:top w:val="nil"/>
              <w:left w:val="nil"/>
              <w:bottom w:val="single" w:sz="4" w:space="0" w:color="auto"/>
              <w:right w:val="single" w:sz="4" w:space="0" w:color="auto"/>
            </w:tcBorders>
            <w:shd w:val="clear" w:color="auto" w:fill="auto"/>
            <w:noWrap/>
            <w:vAlign w:val="bottom"/>
            <w:hideMark/>
          </w:tcPr>
          <w:p w14:paraId="002B18A9" w14:textId="7FC723EC" w:rsidR="005F7982" w:rsidRPr="007504E6" w:rsidRDefault="005F7982" w:rsidP="005F7982">
            <w:pPr>
              <w:spacing w:line="240" w:lineRule="auto"/>
              <w:ind w:firstLine="0"/>
              <w:jc w:val="left"/>
              <w:rPr>
                <w:rFonts w:ascii="Times New Roman" w:eastAsia="Times New Roman" w:hAnsi="Times New Roman" w:cs="Times New Roman"/>
                <w:color w:val="000000"/>
                <w:lang w:val="en-GB" w:eastAsia="lv-LV"/>
              </w:rPr>
            </w:pPr>
            <w:r w:rsidRPr="007504E6">
              <w:rPr>
                <w:lang w:val="en-GB"/>
              </w:rPr>
              <w:t>Chairman of the Board , architect</w:t>
            </w:r>
          </w:p>
        </w:tc>
      </w:tr>
      <w:tr w:rsidR="005F7982" w:rsidRPr="007504E6" w14:paraId="3D87FB39"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6A0C0940" w14:textId="1CEAA225" w:rsidR="005F7982" w:rsidRPr="007504E6" w:rsidRDefault="005F7982" w:rsidP="005F7982">
            <w:pPr>
              <w:spacing w:line="240" w:lineRule="auto"/>
              <w:ind w:firstLine="0"/>
              <w:jc w:val="left"/>
              <w:rPr>
                <w:rFonts w:ascii="Times New Roman" w:eastAsia="Times New Roman" w:hAnsi="Times New Roman" w:cs="Times New Roman"/>
                <w:color w:val="000000"/>
                <w:lang w:val="en-GB" w:eastAsia="lv-LV"/>
              </w:rPr>
            </w:pPr>
            <w:r w:rsidRPr="007504E6">
              <w:rPr>
                <w:lang w:val="en-GB"/>
              </w:rPr>
              <w:t>SIA “ ARKA ”</w:t>
            </w:r>
          </w:p>
        </w:tc>
        <w:tc>
          <w:tcPr>
            <w:tcW w:w="2060" w:type="dxa"/>
            <w:tcBorders>
              <w:top w:val="nil"/>
              <w:left w:val="nil"/>
              <w:bottom w:val="single" w:sz="4" w:space="0" w:color="auto"/>
              <w:right w:val="single" w:sz="4" w:space="0" w:color="auto"/>
            </w:tcBorders>
            <w:shd w:val="clear" w:color="auto" w:fill="auto"/>
            <w:noWrap/>
            <w:vAlign w:val="bottom"/>
            <w:hideMark/>
          </w:tcPr>
          <w:p w14:paraId="6ACBC705" w14:textId="765E2CEC" w:rsidR="005F7982" w:rsidRPr="007504E6" w:rsidRDefault="005F7982" w:rsidP="005F7982">
            <w:pPr>
              <w:spacing w:line="240" w:lineRule="auto"/>
              <w:ind w:firstLine="0"/>
              <w:jc w:val="left"/>
              <w:rPr>
                <w:rFonts w:ascii="Times New Roman" w:eastAsia="Times New Roman" w:hAnsi="Times New Roman" w:cs="Times New Roman"/>
                <w:color w:val="000000"/>
                <w:lang w:val="en-GB" w:eastAsia="lv-LV"/>
              </w:rPr>
            </w:pPr>
            <w:proofErr w:type="spellStart"/>
            <w:r w:rsidRPr="007504E6">
              <w:rPr>
                <w:lang w:val="en-GB"/>
              </w:rPr>
              <w:t>Uldis</w:t>
            </w:r>
            <w:proofErr w:type="spellEnd"/>
            <w:r w:rsidRPr="007504E6">
              <w:rPr>
                <w:lang w:val="en-GB"/>
              </w:rPr>
              <w:t xml:space="preserve"> </w:t>
            </w:r>
            <w:proofErr w:type="spellStart"/>
            <w:r w:rsidRPr="007504E6">
              <w:rPr>
                <w:lang w:val="en-GB"/>
              </w:rPr>
              <w:t>Ekšteins</w:t>
            </w:r>
            <w:proofErr w:type="spellEnd"/>
          </w:p>
        </w:tc>
        <w:tc>
          <w:tcPr>
            <w:tcW w:w="3751" w:type="dxa"/>
            <w:tcBorders>
              <w:top w:val="nil"/>
              <w:left w:val="nil"/>
              <w:bottom w:val="single" w:sz="4" w:space="0" w:color="auto"/>
              <w:right w:val="single" w:sz="4" w:space="0" w:color="auto"/>
            </w:tcBorders>
            <w:shd w:val="clear" w:color="auto" w:fill="auto"/>
            <w:noWrap/>
            <w:vAlign w:val="bottom"/>
            <w:hideMark/>
          </w:tcPr>
          <w:p w14:paraId="269F04CD" w14:textId="724271D9" w:rsidR="005F7982" w:rsidRPr="007504E6" w:rsidRDefault="005F7982" w:rsidP="005F7982">
            <w:pPr>
              <w:spacing w:line="240" w:lineRule="auto"/>
              <w:ind w:firstLine="0"/>
              <w:jc w:val="left"/>
              <w:rPr>
                <w:rFonts w:ascii="Times New Roman" w:eastAsia="Times New Roman" w:hAnsi="Times New Roman" w:cs="Times New Roman"/>
                <w:color w:val="000000"/>
                <w:lang w:val="en-GB" w:eastAsia="lv-LV"/>
              </w:rPr>
            </w:pPr>
            <w:r w:rsidRPr="007504E6">
              <w:rPr>
                <w:lang w:val="en-GB"/>
              </w:rPr>
              <w:t>Board member, architect</w:t>
            </w:r>
          </w:p>
        </w:tc>
      </w:tr>
      <w:tr w:rsidR="005F7982" w:rsidRPr="007504E6" w14:paraId="32084288"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782DDEE9" w14:textId="4D46A7F4" w:rsidR="005F7982" w:rsidRPr="007504E6" w:rsidRDefault="005F7982" w:rsidP="005F7982">
            <w:pPr>
              <w:spacing w:line="240" w:lineRule="auto"/>
              <w:ind w:firstLine="0"/>
              <w:jc w:val="left"/>
              <w:rPr>
                <w:rFonts w:ascii="Times New Roman" w:eastAsia="Times New Roman" w:hAnsi="Times New Roman" w:cs="Times New Roman"/>
                <w:color w:val="000000"/>
                <w:lang w:val="en-GB" w:eastAsia="lv-LV"/>
              </w:rPr>
            </w:pPr>
            <w:r w:rsidRPr="007504E6">
              <w:rPr>
                <w:lang w:val="en-GB"/>
              </w:rPr>
              <w:t>SIA “ AR.4 ”</w:t>
            </w:r>
          </w:p>
        </w:tc>
        <w:tc>
          <w:tcPr>
            <w:tcW w:w="2060" w:type="dxa"/>
            <w:tcBorders>
              <w:top w:val="nil"/>
              <w:left w:val="nil"/>
              <w:bottom w:val="single" w:sz="4" w:space="0" w:color="auto"/>
              <w:right w:val="single" w:sz="4" w:space="0" w:color="auto"/>
            </w:tcBorders>
            <w:shd w:val="clear" w:color="auto" w:fill="auto"/>
            <w:noWrap/>
            <w:vAlign w:val="bottom"/>
            <w:hideMark/>
          </w:tcPr>
          <w:p w14:paraId="12CD8F34" w14:textId="3F50EFD7" w:rsidR="005F7982" w:rsidRPr="007504E6" w:rsidRDefault="005F7982" w:rsidP="005F7982">
            <w:pPr>
              <w:spacing w:line="240" w:lineRule="auto"/>
              <w:ind w:firstLine="0"/>
              <w:jc w:val="left"/>
              <w:rPr>
                <w:rFonts w:ascii="Times New Roman" w:eastAsia="Times New Roman" w:hAnsi="Times New Roman" w:cs="Times New Roman"/>
                <w:color w:val="000000"/>
                <w:lang w:val="en-GB" w:eastAsia="lv-LV"/>
              </w:rPr>
            </w:pPr>
            <w:r w:rsidRPr="007504E6">
              <w:rPr>
                <w:lang w:val="en-GB"/>
              </w:rPr>
              <w:t>Andris Vitols</w:t>
            </w:r>
          </w:p>
        </w:tc>
        <w:tc>
          <w:tcPr>
            <w:tcW w:w="3751" w:type="dxa"/>
            <w:tcBorders>
              <w:top w:val="nil"/>
              <w:left w:val="nil"/>
              <w:bottom w:val="single" w:sz="4" w:space="0" w:color="auto"/>
              <w:right w:val="single" w:sz="4" w:space="0" w:color="auto"/>
            </w:tcBorders>
            <w:shd w:val="clear" w:color="auto" w:fill="auto"/>
            <w:noWrap/>
            <w:vAlign w:val="bottom"/>
            <w:hideMark/>
          </w:tcPr>
          <w:p w14:paraId="72FB696C" w14:textId="7331A84A" w:rsidR="005F7982" w:rsidRPr="007504E6" w:rsidRDefault="005F7982" w:rsidP="005F7982">
            <w:pPr>
              <w:spacing w:line="240" w:lineRule="auto"/>
              <w:ind w:firstLine="0"/>
              <w:jc w:val="left"/>
              <w:rPr>
                <w:rFonts w:ascii="Times New Roman" w:eastAsia="Times New Roman" w:hAnsi="Times New Roman" w:cs="Times New Roman"/>
                <w:color w:val="000000"/>
                <w:lang w:val="en-GB" w:eastAsia="lv-LV"/>
              </w:rPr>
            </w:pPr>
            <w:r w:rsidRPr="007504E6">
              <w:rPr>
                <w:lang w:val="en-GB"/>
              </w:rPr>
              <w:t>Chairman of the Board , architect</w:t>
            </w:r>
          </w:p>
        </w:tc>
      </w:tr>
    </w:tbl>
    <w:p w14:paraId="7BD1B30B" w14:textId="36CEA39C" w:rsidR="005D2217" w:rsidRPr="007504E6" w:rsidRDefault="005D2217" w:rsidP="00F6038A">
      <w:pPr>
        <w:ind w:firstLine="0"/>
        <w:rPr>
          <w:rFonts w:ascii="Times New Roman" w:hAnsi="Times New Roman" w:cs="Times New Roman"/>
          <w:lang w:val="en-GB"/>
        </w:rPr>
      </w:pPr>
    </w:p>
    <w:p w14:paraId="30675FD4" w14:textId="110598C9" w:rsidR="005D2217" w:rsidRPr="007504E6" w:rsidRDefault="009448D3" w:rsidP="00D64210">
      <w:pPr>
        <w:pStyle w:val="Sarakstarindkopa"/>
        <w:numPr>
          <w:ilvl w:val="0"/>
          <w:numId w:val="23"/>
        </w:numPr>
        <w:rPr>
          <w:rFonts w:ascii="Times New Roman" w:hAnsi="Times New Roman" w:cs="Times New Roman"/>
          <w:lang w:val="en-GB"/>
        </w:rPr>
      </w:pPr>
      <w:r w:rsidRPr="007504E6">
        <w:rPr>
          <w:rFonts w:ascii="Times New Roman" w:hAnsi="Times New Roman" w:cs="Times New Roman"/>
          <w:lang w:val="en-GB"/>
        </w:rPr>
        <w:t>Manufacturers and traders of construction materials</w:t>
      </w:r>
    </w:p>
    <w:tbl>
      <w:tblPr>
        <w:tblW w:w="9067" w:type="dxa"/>
        <w:tblLook w:val="04A0" w:firstRow="1" w:lastRow="0" w:firstColumn="1" w:lastColumn="0" w:noHBand="0" w:noVBand="1"/>
      </w:tblPr>
      <w:tblGrid>
        <w:gridCol w:w="3256"/>
        <w:gridCol w:w="2060"/>
        <w:gridCol w:w="3751"/>
      </w:tblGrid>
      <w:tr w:rsidR="00AE5B43" w:rsidRPr="007504E6" w14:paraId="01C5E3D3"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AAE7A6" w14:textId="716E39C4" w:rsidR="00AE5B43" w:rsidRPr="007504E6" w:rsidRDefault="00AE5B43" w:rsidP="00AE5B43">
            <w:pPr>
              <w:spacing w:line="240" w:lineRule="auto"/>
              <w:ind w:firstLine="0"/>
              <w:jc w:val="left"/>
              <w:rPr>
                <w:rFonts w:ascii="Times New Roman" w:eastAsia="Times New Roman" w:hAnsi="Times New Roman" w:cs="Times New Roman"/>
                <w:color w:val="000000"/>
                <w:lang w:val="en-GB" w:eastAsia="lv-LV"/>
              </w:rPr>
            </w:pPr>
            <w:r w:rsidRPr="007504E6">
              <w:rPr>
                <w:lang w:val="en-GB"/>
              </w:rPr>
              <w:t>Building Materials Manufacturers Association</w:t>
            </w:r>
          </w:p>
        </w:tc>
        <w:tc>
          <w:tcPr>
            <w:tcW w:w="2060" w:type="dxa"/>
            <w:tcBorders>
              <w:top w:val="single" w:sz="4" w:space="0" w:color="auto"/>
              <w:left w:val="nil"/>
              <w:bottom w:val="single" w:sz="4" w:space="0" w:color="auto"/>
              <w:right w:val="single" w:sz="4" w:space="0" w:color="auto"/>
            </w:tcBorders>
            <w:shd w:val="clear" w:color="auto" w:fill="auto"/>
            <w:noWrap/>
            <w:vAlign w:val="bottom"/>
          </w:tcPr>
          <w:p w14:paraId="5F85AECF" w14:textId="39D60FFB" w:rsidR="00AE5B43" w:rsidRPr="007504E6" w:rsidRDefault="00AE5B43" w:rsidP="00AE5B43">
            <w:pPr>
              <w:spacing w:line="240" w:lineRule="auto"/>
              <w:ind w:firstLine="0"/>
              <w:jc w:val="left"/>
              <w:rPr>
                <w:rFonts w:ascii="Times New Roman" w:eastAsia="Times New Roman" w:hAnsi="Times New Roman" w:cs="Times New Roman"/>
                <w:color w:val="000000"/>
                <w:lang w:val="en-GB" w:eastAsia="lv-LV"/>
              </w:rPr>
            </w:pPr>
            <w:proofErr w:type="spellStart"/>
            <w:r w:rsidRPr="007504E6">
              <w:rPr>
                <w:lang w:val="en-GB"/>
              </w:rPr>
              <w:t>Leonīds</w:t>
            </w:r>
            <w:proofErr w:type="spellEnd"/>
            <w:r w:rsidRPr="007504E6">
              <w:rPr>
                <w:lang w:val="en-GB"/>
              </w:rPr>
              <w:t xml:space="preserve"> </w:t>
            </w:r>
            <w:proofErr w:type="spellStart"/>
            <w:r w:rsidRPr="007504E6">
              <w:rPr>
                <w:lang w:val="en-GB"/>
              </w:rPr>
              <w:t>Jākobsons</w:t>
            </w:r>
            <w:proofErr w:type="spellEnd"/>
          </w:p>
        </w:tc>
        <w:tc>
          <w:tcPr>
            <w:tcW w:w="3751" w:type="dxa"/>
            <w:tcBorders>
              <w:top w:val="single" w:sz="4" w:space="0" w:color="auto"/>
              <w:left w:val="nil"/>
              <w:bottom w:val="single" w:sz="4" w:space="0" w:color="auto"/>
              <w:right w:val="single" w:sz="4" w:space="0" w:color="auto"/>
            </w:tcBorders>
            <w:shd w:val="clear" w:color="auto" w:fill="auto"/>
            <w:noWrap/>
            <w:vAlign w:val="bottom"/>
          </w:tcPr>
          <w:p w14:paraId="26901D6F" w14:textId="1BBEEA89" w:rsidR="00AE5B43" w:rsidRPr="007504E6" w:rsidRDefault="00AE5B43" w:rsidP="00AE5B43">
            <w:pPr>
              <w:spacing w:line="240" w:lineRule="auto"/>
              <w:ind w:firstLine="0"/>
              <w:jc w:val="left"/>
              <w:rPr>
                <w:rFonts w:ascii="Times New Roman" w:eastAsia="Times New Roman" w:hAnsi="Times New Roman" w:cs="Times New Roman"/>
                <w:color w:val="000000"/>
                <w:lang w:val="en-GB" w:eastAsia="lv-LV"/>
              </w:rPr>
            </w:pPr>
            <w:r w:rsidRPr="007504E6">
              <w:rPr>
                <w:lang w:val="en-GB"/>
              </w:rPr>
              <w:t>Executive director</w:t>
            </w:r>
          </w:p>
        </w:tc>
      </w:tr>
      <w:tr w:rsidR="00AE5B43" w:rsidRPr="007504E6" w14:paraId="5CA323B9"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AB14E" w14:textId="3B6F1390" w:rsidR="00AE5B43" w:rsidRPr="007504E6" w:rsidRDefault="00AE5B43" w:rsidP="00AE5B43">
            <w:pPr>
              <w:spacing w:line="240" w:lineRule="auto"/>
              <w:ind w:firstLine="0"/>
              <w:jc w:val="left"/>
              <w:rPr>
                <w:rFonts w:ascii="Times New Roman" w:eastAsia="Times New Roman" w:hAnsi="Times New Roman" w:cs="Times New Roman"/>
                <w:color w:val="000000"/>
                <w:lang w:val="en-GB" w:eastAsia="lv-LV"/>
              </w:rPr>
            </w:pPr>
            <w:r w:rsidRPr="007504E6">
              <w:rPr>
                <w:lang w:val="en-GB"/>
              </w:rPr>
              <w:t>Latvian Traders Association</w:t>
            </w:r>
          </w:p>
        </w:tc>
        <w:tc>
          <w:tcPr>
            <w:tcW w:w="2060" w:type="dxa"/>
            <w:tcBorders>
              <w:top w:val="single" w:sz="4" w:space="0" w:color="auto"/>
              <w:left w:val="nil"/>
              <w:bottom w:val="single" w:sz="4" w:space="0" w:color="auto"/>
              <w:right w:val="single" w:sz="4" w:space="0" w:color="auto"/>
            </w:tcBorders>
            <w:shd w:val="clear" w:color="auto" w:fill="auto"/>
            <w:noWrap/>
            <w:vAlign w:val="bottom"/>
          </w:tcPr>
          <w:p w14:paraId="72B0EAA7" w14:textId="68204DA0" w:rsidR="00AE5B43" w:rsidRPr="007504E6" w:rsidRDefault="00AE5B43" w:rsidP="00AE5B43">
            <w:pPr>
              <w:spacing w:line="240" w:lineRule="auto"/>
              <w:ind w:firstLine="0"/>
              <w:jc w:val="left"/>
              <w:rPr>
                <w:rFonts w:ascii="Times New Roman" w:eastAsia="Times New Roman" w:hAnsi="Times New Roman" w:cs="Times New Roman"/>
                <w:color w:val="000000"/>
                <w:lang w:val="en-GB" w:eastAsia="lv-LV"/>
              </w:rPr>
            </w:pPr>
            <w:r w:rsidRPr="007504E6">
              <w:rPr>
                <w:lang w:val="en-GB"/>
              </w:rPr>
              <w:t xml:space="preserve">Henrik </w:t>
            </w:r>
            <w:proofErr w:type="spellStart"/>
            <w:r w:rsidRPr="007504E6">
              <w:rPr>
                <w:lang w:val="en-GB"/>
              </w:rPr>
              <w:t>Danusevich</w:t>
            </w:r>
            <w:proofErr w:type="spellEnd"/>
          </w:p>
        </w:tc>
        <w:tc>
          <w:tcPr>
            <w:tcW w:w="3751" w:type="dxa"/>
            <w:tcBorders>
              <w:top w:val="single" w:sz="4" w:space="0" w:color="auto"/>
              <w:left w:val="nil"/>
              <w:bottom w:val="single" w:sz="4" w:space="0" w:color="auto"/>
              <w:right w:val="single" w:sz="4" w:space="0" w:color="auto"/>
            </w:tcBorders>
            <w:shd w:val="clear" w:color="auto" w:fill="auto"/>
            <w:noWrap/>
            <w:vAlign w:val="bottom"/>
          </w:tcPr>
          <w:p w14:paraId="08270979" w14:textId="36549B6B" w:rsidR="00AE5B43" w:rsidRPr="007504E6" w:rsidRDefault="00AE5B43" w:rsidP="00AE5B43">
            <w:pPr>
              <w:spacing w:line="240" w:lineRule="auto"/>
              <w:ind w:firstLine="0"/>
              <w:jc w:val="left"/>
              <w:rPr>
                <w:rFonts w:ascii="Times New Roman" w:eastAsia="Times New Roman" w:hAnsi="Times New Roman" w:cs="Times New Roman"/>
                <w:color w:val="000000"/>
                <w:lang w:val="en-GB" w:eastAsia="lv-LV"/>
              </w:rPr>
            </w:pPr>
            <w:r w:rsidRPr="007504E6">
              <w:rPr>
                <w:lang w:val="en-GB"/>
              </w:rPr>
              <w:t>President</w:t>
            </w:r>
          </w:p>
        </w:tc>
      </w:tr>
      <w:tr w:rsidR="00AE5B43" w:rsidRPr="007504E6" w14:paraId="6C1D5B48"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7F7B1" w14:textId="57A756B5" w:rsidR="00AE5B43" w:rsidRPr="007504E6" w:rsidRDefault="00AE5B43" w:rsidP="00AE5B43">
            <w:pPr>
              <w:spacing w:line="240" w:lineRule="auto"/>
              <w:ind w:firstLine="0"/>
              <w:jc w:val="left"/>
              <w:rPr>
                <w:rFonts w:ascii="Times New Roman" w:eastAsia="Times New Roman" w:hAnsi="Times New Roman" w:cs="Times New Roman"/>
                <w:color w:val="000000"/>
                <w:lang w:val="en-GB" w:eastAsia="lv-LV"/>
              </w:rPr>
            </w:pPr>
            <w:r w:rsidRPr="007504E6">
              <w:rPr>
                <w:lang w:val="en-GB"/>
              </w:rPr>
              <w:t>JSC “Latvian State Forests” (LVM)</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14:paraId="09960052" w14:textId="5C64BA66" w:rsidR="00AE5B43" w:rsidRPr="007504E6" w:rsidRDefault="00AE5B43" w:rsidP="00AE5B43">
            <w:pPr>
              <w:spacing w:line="240" w:lineRule="auto"/>
              <w:ind w:firstLine="0"/>
              <w:jc w:val="left"/>
              <w:rPr>
                <w:rFonts w:ascii="Times New Roman" w:eastAsia="Times New Roman" w:hAnsi="Times New Roman" w:cs="Times New Roman"/>
                <w:color w:val="000000"/>
                <w:lang w:val="en-GB" w:eastAsia="lv-LV"/>
              </w:rPr>
            </w:pPr>
            <w:r w:rsidRPr="007504E6">
              <w:rPr>
                <w:lang w:val="en-GB"/>
              </w:rPr>
              <w:t>Kristīne Ansone</w:t>
            </w:r>
          </w:p>
        </w:tc>
        <w:tc>
          <w:tcPr>
            <w:tcW w:w="3751" w:type="dxa"/>
            <w:tcBorders>
              <w:top w:val="single" w:sz="4" w:space="0" w:color="auto"/>
              <w:left w:val="nil"/>
              <w:bottom w:val="single" w:sz="4" w:space="0" w:color="auto"/>
              <w:right w:val="single" w:sz="4" w:space="0" w:color="auto"/>
            </w:tcBorders>
            <w:shd w:val="clear" w:color="auto" w:fill="auto"/>
            <w:noWrap/>
            <w:vAlign w:val="bottom"/>
            <w:hideMark/>
          </w:tcPr>
          <w:p w14:paraId="5A96F40C" w14:textId="08258413" w:rsidR="00AE5B43" w:rsidRPr="007504E6" w:rsidRDefault="00AE5B43" w:rsidP="00AE5B43">
            <w:pPr>
              <w:spacing w:line="240" w:lineRule="auto"/>
              <w:ind w:firstLine="0"/>
              <w:jc w:val="left"/>
              <w:rPr>
                <w:rFonts w:ascii="Times New Roman" w:eastAsia="Times New Roman" w:hAnsi="Times New Roman" w:cs="Times New Roman"/>
                <w:color w:val="000000"/>
                <w:lang w:val="en-GB" w:eastAsia="lv-LV"/>
              </w:rPr>
            </w:pPr>
            <w:r w:rsidRPr="007504E6">
              <w:rPr>
                <w:lang w:val="en-GB"/>
              </w:rPr>
              <w:t xml:space="preserve">LVM Earth </w:t>
            </w:r>
            <w:r w:rsidR="004E64A0" w:rsidRPr="007504E6">
              <w:rPr>
                <w:lang w:val="en-GB"/>
              </w:rPr>
              <w:t>Subsoil</w:t>
            </w:r>
            <w:r w:rsidRPr="007504E6">
              <w:rPr>
                <w:lang w:val="en-GB"/>
              </w:rPr>
              <w:t> Director</w:t>
            </w:r>
          </w:p>
        </w:tc>
      </w:tr>
      <w:tr w:rsidR="00AE5B43" w:rsidRPr="007504E6" w14:paraId="18C50B40"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3D43BAB7" w14:textId="49B641EF" w:rsidR="00AE5B43" w:rsidRPr="007504E6" w:rsidRDefault="00AE5B43" w:rsidP="00AE5B43">
            <w:pPr>
              <w:spacing w:line="240" w:lineRule="auto"/>
              <w:ind w:firstLine="0"/>
              <w:jc w:val="left"/>
              <w:rPr>
                <w:rFonts w:ascii="Times New Roman" w:eastAsia="Times New Roman" w:hAnsi="Times New Roman" w:cs="Times New Roman"/>
                <w:color w:val="000000"/>
                <w:lang w:val="en-GB" w:eastAsia="lv-LV"/>
              </w:rPr>
            </w:pPr>
            <w:r w:rsidRPr="007504E6">
              <w:rPr>
                <w:lang w:val="en-GB"/>
              </w:rPr>
              <w:t>SIA “Optimera Latvia”</w:t>
            </w:r>
          </w:p>
        </w:tc>
        <w:tc>
          <w:tcPr>
            <w:tcW w:w="2060" w:type="dxa"/>
            <w:tcBorders>
              <w:top w:val="nil"/>
              <w:left w:val="nil"/>
              <w:bottom w:val="single" w:sz="4" w:space="0" w:color="auto"/>
              <w:right w:val="single" w:sz="4" w:space="0" w:color="auto"/>
            </w:tcBorders>
            <w:shd w:val="clear" w:color="auto" w:fill="auto"/>
            <w:noWrap/>
            <w:vAlign w:val="bottom"/>
            <w:hideMark/>
          </w:tcPr>
          <w:p w14:paraId="6A5EC523" w14:textId="52803A43" w:rsidR="00AE5B43" w:rsidRPr="007504E6" w:rsidRDefault="00AE5B43" w:rsidP="00AE5B43">
            <w:pPr>
              <w:spacing w:line="240" w:lineRule="auto"/>
              <w:ind w:firstLine="0"/>
              <w:jc w:val="left"/>
              <w:rPr>
                <w:rFonts w:ascii="Times New Roman" w:eastAsia="Times New Roman" w:hAnsi="Times New Roman" w:cs="Times New Roman"/>
                <w:color w:val="000000"/>
                <w:lang w:val="en-GB" w:eastAsia="lv-LV"/>
              </w:rPr>
            </w:pPr>
            <w:proofErr w:type="spellStart"/>
            <w:r w:rsidRPr="007504E6">
              <w:rPr>
                <w:lang w:val="en-GB"/>
              </w:rPr>
              <w:t>Ainars</w:t>
            </w:r>
            <w:proofErr w:type="spellEnd"/>
            <w:r w:rsidRPr="007504E6">
              <w:rPr>
                <w:lang w:val="en-GB"/>
              </w:rPr>
              <w:t> </w:t>
            </w:r>
            <w:proofErr w:type="spellStart"/>
            <w:r w:rsidRPr="007504E6">
              <w:rPr>
                <w:lang w:val="en-GB"/>
              </w:rPr>
              <w:t>Kursītis</w:t>
            </w:r>
            <w:proofErr w:type="spellEnd"/>
          </w:p>
        </w:tc>
        <w:tc>
          <w:tcPr>
            <w:tcW w:w="3751" w:type="dxa"/>
            <w:tcBorders>
              <w:top w:val="nil"/>
              <w:left w:val="nil"/>
              <w:bottom w:val="single" w:sz="4" w:space="0" w:color="auto"/>
              <w:right w:val="single" w:sz="4" w:space="0" w:color="auto"/>
            </w:tcBorders>
            <w:shd w:val="clear" w:color="auto" w:fill="auto"/>
            <w:noWrap/>
            <w:vAlign w:val="bottom"/>
            <w:hideMark/>
          </w:tcPr>
          <w:p w14:paraId="50BDB491" w14:textId="3699B654" w:rsidR="00AE5B43" w:rsidRPr="007504E6" w:rsidRDefault="00AE5B43" w:rsidP="00AE5B43">
            <w:pPr>
              <w:spacing w:line="240" w:lineRule="auto"/>
              <w:ind w:firstLine="0"/>
              <w:jc w:val="left"/>
              <w:rPr>
                <w:rFonts w:ascii="Times New Roman" w:eastAsia="Times New Roman" w:hAnsi="Times New Roman" w:cs="Times New Roman"/>
                <w:color w:val="000000"/>
                <w:lang w:val="en-GB" w:eastAsia="lv-LV"/>
              </w:rPr>
            </w:pPr>
            <w:r w:rsidRPr="007504E6">
              <w:rPr>
                <w:lang w:val="en-GB"/>
              </w:rPr>
              <w:t>Board pr </w:t>
            </w:r>
            <w:proofErr w:type="spellStart"/>
            <w:r w:rsidRPr="007504E6">
              <w:rPr>
                <w:lang w:val="en-GB"/>
              </w:rPr>
              <w:t>iekšsēdētājs</w:t>
            </w:r>
            <w:proofErr w:type="spellEnd"/>
          </w:p>
        </w:tc>
      </w:tr>
      <w:tr w:rsidR="00AE5B43" w:rsidRPr="007504E6" w14:paraId="44B2A0B6"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5A4D514B" w14:textId="302CD296" w:rsidR="00AE5B43" w:rsidRPr="007504E6" w:rsidRDefault="00AE5B43" w:rsidP="00AE5B43">
            <w:pPr>
              <w:spacing w:line="240" w:lineRule="auto"/>
              <w:ind w:firstLine="0"/>
              <w:jc w:val="left"/>
              <w:rPr>
                <w:rFonts w:ascii="Times New Roman" w:eastAsia="Times New Roman" w:hAnsi="Times New Roman" w:cs="Times New Roman"/>
                <w:color w:val="000000"/>
                <w:lang w:val="en-GB" w:eastAsia="lv-LV"/>
              </w:rPr>
            </w:pPr>
            <w:r w:rsidRPr="007504E6">
              <w:rPr>
                <w:lang w:val="en-GB"/>
              </w:rPr>
              <w:t>SIA “Timber Trade Group”</w:t>
            </w:r>
          </w:p>
        </w:tc>
        <w:tc>
          <w:tcPr>
            <w:tcW w:w="2060" w:type="dxa"/>
            <w:tcBorders>
              <w:top w:val="nil"/>
              <w:left w:val="nil"/>
              <w:bottom w:val="single" w:sz="4" w:space="0" w:color="auto"/>
              <w:right w:val="single" w:sz="4" w:space="0" w:color="auto"/>
            </w:tcBorders>
            <w:shd w:val="clear" w:color="auto" w:fill="auto"/>
            <w:noWrap/>
            <w:vAlign w:val="bottom"/>
            <w:hideMark/>
          </w:tcPr>
          <w:p w14:paraId="6334892E" w14:textId="7D1C5748" w:rsidR="00AE5B43" w:rsidRPr="007504E6" w:rsidRDefault="00AE5B43" w:rsidP="00AE5B43">
            <w:pPr>
              <w:spacing w:line="240" w:lineRule="auto"/>
              <w:ind w:firstLine="0"/>
              <w:jc w:val="left"/>
              <w:rPr>
                <w:rFonts w:ascii="Times New Roman" w:eastAsia="Times New Roman" w:hAnsi="Times New Roman" w:cs="Times New Roman"/>
                <w:color w:val="000000"/>
                <w:lang w:val="en-GB" w:eastAsia="lv-LV"/>
              </w:rPr>
            </w:pPr>
            <w:r w:rsidRPr="007504E6">
              <w:rPr>
                <w:lang w:val="en-GB"/>
              </w:rPr>
              <w:t xml:space="preserve">Andris </w:t>
            </w:r>
            <w:proofErr w:type="spellStart"/>
            <w:r w:rsidRPr="007504E6">
              <w:rPr>
                <w:lang w:val="en-GB"/>
              </w:rPr>
              <w:t>Ozols</w:t>
            </w:r>
            <w:proofErr w:type="spellEnd"/>
          </w:p>
        </w:tc>
        <w:tc>
          <w:tcPr>
            <w:tcW w:w="3751" w:type="dxa"/>
            <w:tcBorders>
              <w:top w:val="nil"/>
              <w:left w:val="nil"/>
              <w:bottom w:val="single" w:sz="4" w:space="0" w:color="auto"/>
              <w:right w:val="single" w:sz="4" w:space="0" w:color="auto"/>
            </w:tcBorders>
            <w:shd w:val="clear" w:color="auto" w:fill="auto"/>
            <w:noWrap/>
            <w:vAlign w:val="bottom"/>
            <w:hideMark/>
          </w:tcPr>
          <w:p w14:paraId="717F88DE" w14:textId="0B13CDB9" w:rsidR="00AE5B43" w:rsidRPr="007504E6" w:rsidRDefault="00AE5B43" w:rsidP="00AE5B43">
            <w:pPr>
              <w:spacing w:line="240" w:lineRule="auto"/>
              <w:ind w:firstLine="0"/>
              <w:jc w:val="left"/>
              <w:rPr>
                <w:rFonts w:ascii="Times New Roman" w:eastAsia="Times New Roman" w:hAnsi="Times New Roman" w:cs="Times New Roman"/>
                <w:color w:val="000000"/>
                <w:lang w:val="en-GB" w:eastAsia="lv-LV"/>
              </w:rPr>
            </w:pPr>
            <w:r w:rsidRPr="007504E6">
              <w:rPr>
                <w:lang w:val="en-GB"/>
              </w:rPr>
              <w:t>Director</w:t>
            </w:r>
          </w:p>
        </w:tc>
      </w:tr>
      <w:tr w:rsidR="00AE5B43" w:rsidRPr="007504E6" w14:paraId="5A02AD58"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52248BD9" w14:textId="5B964DA0" w:rsidR="00AE5B43" w:rsidRPr="007504E6" w:rsidRDefault="00AE5B43" w:rsidP="00AE5B43">
            <w:pPr>
              <w:spacing w:line="240" w:lineRule="auto"/>
              <w:ind w:firstLine="0"/>
              <w:jc w:val="left"/>
              <w:rPr>
                <w:rFonts w:ascii="Times New Roman" w:eastAsia="Times New Roman" w:hAnsi="Times New Roman" w:cs="Times New Roman"/>
                <w:color w:val="000000"/>
                <w:lang w:val="en-GB" w:eastAsia="lv-LV"/>
              </w:rPr>
            </w:pPr>
            <w:r w:rsidRPr="007504E6">
              <w:rPr>
                <w:lang w:val="en-GB"/>
              </w:rPr>
              <w:t>SIA “</w:t>
            </w:r>
            <w:proofErr w:type="spellStart"/>
            <w:r w:rsidRPr="007504E6">
              <w:rPr>
                <w:lang w:val="en-GB"/>
              </w:rPr>
              <w:t>Baumit</w:t>
            </w:r>
            <w:proofErr w:type="spellEnd"/>
            <w:r w:rsidRPr="007504E6">
              <w:rPr>
                <w:lang w:val="en-GB"/>
              </w:rPr>
              <w:t>”</w:t>
            </w:r>
          </w:p>
        </w:tc>
        <w:tc>
          <w:tcPr>
            <w:tcW w:w="2060" w:type="dxa"/>
            <w:tcBorders>
              <w:top w:val="nil"/>
              <w:left w:val="nil"/>
              <w:bottom w:val="single" w:sz="4" w:space="0" w:color="auto"/>
              <w:right w:val="single" w:sz="4" w:space="0" w:color="auto"/>
            </w:tcBorders>
            <w:shd w:val="clear" w:color="auto" w:fill="auto"/>
            <w:noWrap/>
            <w:vAlign w:val="bottom"/>
            <w:hideMark/>
          </w:tcPr>
          <w:p w14:paraId="5F15E17E" w14:textId="64D00FAB" w:rsidR="00AE5B43" w:rsidRPr="007504E6" w:rsidRDefault="00AE5B43" w:rsidP="00AE5B43">
            <w:pPr>
              <w:spacing w:line="240" w:lineRule="auto"/>
              <w:ind w:firstLine="0"/>
              <w:jc w:val="left"/>
              <w:rPr>
                <w:rFonts w:ascii="Times New Roman" w:eastAsia="Times New Roman" w:hAnsi="Times New Roman" w:cs="Times New Roman"/>
                <w:color w:val="000000"/>
                <w:lang w:val="en-GB" w:eastAsia="lv-LV"/>
              </w:rPr>
            </w:pPr>
            <w:r w:rsidRPr="007504E6">
              <w:rPr>
                <w:lang w:val="en-GB"/>
              </w:rPr>
              <w:t xml:space="preserve">Andris </w:t>
            </w:r>
            <w:proofErr w:type="spellStart"/>
            <w:r w:rsidRPr="007504E6">
              <w:rPr>
                <w:lang w:val="en-GB"/>
              </w:rPr>
              <w:t>Vēciņš</w:t>
            </w:r>
            <w:proofErr w:type="spellEnd"/>
          </w:p>
        </w:tc>
        <w:tc>
          <w:tcPr>
            <w:tcW w:w="3751" w:type="dxa"/>
            <w:tcBorders>
              <w:top w:val="nil"/>
              <w:left w:val="nil"/>
              <w:bottom w:val="single" w:sz="4" w:space="0" w:color="auto"/>
              <w:right w:val="single" w:sz="4" w:space="0" w:color="auto"/>
            </w:tcBorders>
            <w:shd w:val="clear" w:color="auto" w:fill="auto"/>
            <w:noWrap/>
            <w:vAlign w:val="bottom"/>
            <w:hideMark/>
          </w:tcPr>
          <w:p w14:paraId="65787A8F" w14:textId="21E98708" w:rsidR="00AE5B43" w:rsidRPr="007504E6" w:rsidRDefault="00AE5B43" w:rsidP="00AE5B43">
            <w:pPr>
              <w:spacing w:line="240" w:lineRule="auto"/>
              <w:ind w:firstLine="0"/>
              <w:jc w:val="left"/>
              <w:rPr>
                <w:rFonts w:ascii="Times New Roman" w:eastAsia="Times New Roman" w:hAnsi="Times New Roman" w:cs="Times New Roman"/>
                <w:color w:val="000000"/>
                <w:lang w:val="en-GB" w:eastAsia="lv-LV"/>
              </w:rPr>
            </w:pPr>
            <w:r w:rsidRPr="007504E6">
              <w:rPr>
                <w:lang w:val="en-GB"/>
              </w:rPr>
              <w:t>Product Manager</w:t>
            </w:r>
          </w:p>
        </w:tc>
      </w:tr>
    </w:tbl>
    <w:p w14:paraId="417E6AE4" w14:textId="77777777" w:rsidR="00FB642A" w:rsidRPr="007504E6" w:rsidRDefault="00FB642A" w:rsidP="00FB642A">
      <w:pPr>
        <w:rPr>
          <w:rFonts w:ascii="Times New Roman" w:hAnsi="Times New Roman" w:cs="Times New Roman"/>
          <w:lang w:val="en-GB"/>
        </w:rPr>
      </w:pPr>
    </w:p>
    <w:sectPr w:rsidR="00FB642A" w:rsidRPr="007504E6" w:rsidSect="00FA5E82">
      <w:headerReference w:type="default" r:id="rId53"/>
      <w:footerReference w:type="default" r:id="rId54"/>
      <w:footnotePr>
        <w:numRestart w:val="eachPage"/>
      </w:footnotePr>
      <w:pgSz w:w="11907" w:h="16840" w:code="9"/>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428DB" w14:textId="77777777" w:rsidR="006B4E28" w:rsidRDefault="006B4E28" w:rsidP="00505AF8">
      <w:pPr>
        <w:spacing w:line="240" w:lineRule="auto"/>
      </w:pPr>
      <w:r>
        <w:separator/>
      </w:r>
    </w:p>
  </w:endnote>
  <w:endnote w:type="continuationSeparator" w:id="0">
    <w:p w14:paraId="4DBC67AD" w14:textId="77777777" w:rsidR="006B4E28" w:rsidRDefault="006B4E28" w:rsidP="00505A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11CD0" w14:textId="00A1F2EC" w:rsidR="0086253B" w:rsidRDefault="00B0130F" w:rsidP="009B15C6">
    <w:pPr>
      <w:pStyle w:val="Kjene"/>
      <w:jc w:val="right"/>
    </w:pPr>
    <w:sdt>
      <w:sdtPr>
        <w:id w:val="967310234"/>
        <w:docPartObj>
          <w:docPartGallery w:val="Page Numbers (Bottom of Page)"/>
          <w:docPartUnique/>
        </w:docPartObj>
      </w:sdtPr>
      <w:sdtEndPr>
        <w:rPr>
          <w:noProof/>
        </w:rPr>
      </w:sdtEndPr>
      <w:sdtContent>
        <w:r w:rsidR="00243F97">
          <w:fldChar w:fldCharType="begin"/>
        </w:r>
        <w:r w:rsidR="00243F97">
          <w:instrText xml:space="preserve"> PAGE   \* MERGEFORMAT </w:instrText>
        </w:r>
        <w:r w:rsidR="00243F97">
          <w:fldChar w:fldCharType="separate"/>
        </w:r>
        <w:r w:rsidR="00243F97">
          <w:rPr>
            <w:noProof/>
          </w:rPr>
          <w:t>2</w:t>
        </w:r>
        <w:r w:rsidR="00243F97">
          <w:rPr>
            <w:noProof/>
          </w:rPr>
          <w:fldChar w:fldCharType="end"/>
        </w:r>
      </w:sdtContent>
    </w:sdt>
    <w:r w:rsidR="00243F97" w:rsidRPr="0000619E">
      <w:rPr>
        <w:noProof/>
        <w:lang w:val="en-US"/>
      </w:rPr>
      <w:drawing>
        <wp:anchor distT="0" distB="0" distL="114300" distR="114300" simplePos="0" relativeHeight="251659264" behindDoc="0" locked="0" layoutInCell="1" allowOverlap="1" wp14:anchorId="19A12C17" wp14:editId="1C409C50">
          <wp:simplePos x="0" y="0"/>
          <wp:positionH relativeFrom="column">
            <wp:posOffset>-522515</wp:posOffset>
          </wp:positionH>
          <wp:positionV relativeFrom="paragraph">
            <wp:posOffset>142503</wp:posOffset>
          </wp:positionV>
          <wp:extent cx="881672" cy="168093"/>
          <wp:effectExtent l="0" t="0" r="0" b="3810"/>
          <wp:wrapNone/>
          <wp:docPr id="57" name="Picture 2">
            <a:extLst xmlns:a="http://schemas.openxmlformats.org/drawingml/2006/main">
              <a:ext uri="{FF2B5EF4-FFF2-40B4-BE49-F238E27FC236}">
                <a16:creationId xmlns:a16="http://schemas.microsoft.com/office/drawing/2014/main" id="{B1A6C7BC-F2C5-4673-8260-32D81F6677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a:extLst>
                      <a:ext uri="{FF2B5EF4-FFF2-40B4-BE49-F238E27FC236}">
                        <a16:creationId xmlns:a16="http://schemas.microsoft.com/office/drawing/2014/main" id="{B1A6C7BC-F2C5-4673-8260-32D81F66770B}"/>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1672" cy="168093"/>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DD033" w14:textId="77777777" w:rsidR="006B4E28" w:rsidRDefault="006B4E28" w:rsidP="00505AF8">
      <w:pPr>
        <w:spacing w:line="240" w:lineRule="auto"/>
      </w:pPr>
      <w:r>
        <w:separator/>
      </w:r>
    </w:p>
  </w:footnote>
  <w:footnote w:type="continuationSeparator" w:id="0">
    <w:p w14:paraId="0C8D58FB" w14:textId="77777777" w:rsidR="006B4E28" w:rsidRDefault="006B4E28" w:rsidP="00505AF8">
      <w:pPr>
        <w:spacing w:line="240" w:lineRule="auto"/>
      </w:pPr>
      <w:r>
        <w:continuationSeparator/>
      </w:r>
    </w:p>
  </w:footnote>
  <w:footnote w:id="1">
    <w:p w14:paraId="5461AA3F" w14:textId="2CECC513" w:rsidR="00D64C5F" w:rsidRDefault="00D64C5F" w:rsidP="00624D42">
      <w:pPr>
        <w:pStyle w:val="Vresteksts"/>
        <w:ind w:firstLine="0"/>
        <w:jc w:val="left"/>
      </w:pPr>
      <w:r w:rsidRPr="00624D42">
        <w:rPr>
          <w:rStyle w:val="Vresatsauce"/>
          <w:sz w:val="16"/>
          <w:szCs w:val="16"/>
        </w:rPr>
        <w:footnoteRef/>
      </w:r>
      <w:r w:rsidR="00307B79" w:rsidRPr="00307B79">
        <w:rPr>
          <w:sz w:val="16"/>
          <w:szCs w:val="16"/>
        </w:rPr>
        <w:t>Construction cost indices, Central Statistical Bureau, 29.05.2018, available at http://www.csb.gov.lv/statistikas-temas/metodologija/buvniecibas-izmaksu-indeksi-34819.html (accessed on 01.06.2018)</w:t>
      </w:r>
    </w:p>
  </w:footnote>
  <w:footnote w:id="2">
    <w:p w14:paraId="41CD09A7" w14:textId="77777777" w:rsidR="00D64C5F" w:rsidRDefault="00D64C5F" w:rsidP="00D64C5F">
      <w:pPr>
        <w:pStyle w:val="Vresteksts"/>
      </w:pPr>
      <w:r>
        <w:rPr>
          <w:rStyle w:val="Vresatsauce"/>
        </w:rPr>
        <w:footnoteRef/>
      </w:r>
      <w:r>
        <w:t xml:space="preserve"> </w:t>
      </w:r>
      <w:r w:rsidRPr="001B438E">
        <w:t>Fox, John,  Applied regression analysis and generalized linear models / John Fox.  Third Edition Los Angeles : SAGE, [2016]</w:t>
      </w:r>
      <w:r>
        <w:t>, p.425-476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7BF20" w14:textId="12B6D79C" w:rsidR="0086253B" w:rsidRPr="00834C77" w:rsidRDefault="00E26D27" w:rsidP="00B7359A">
    <w:pPr>
      <w:pStyle w:val="Galvene"/>
      <w:ind w:firstLine="0"/>
      <w:jc w:val="right"/>
      <w:rPr>
        <w:sz w:val="16"/>
        <w:szCs w:val="16"/>
        <w:lang w:val="en-US"/>
      </w:rPr>
    </w:pPr>
    <w:r>
      <w:rPr>
        <w:sz w:val="16"/>
        <w:szCs w:val="16"/>
        <w:lang w:val="en-US"/>
      </w:rPr>
      <w:t>Research</w:t>
    </w:r>
    <w:r w:rsidR="00834C77" w:rsidRPr="00834C77">
      <w:rPr>
        <w:sz w:val="16"/>
        <w:szCs w:val="16"/>
        <w:lang w:val="en-US"/>
      </w:rPr>
      <w:t xml:space="preserve"> on projected changes in labor and construction material costs in the construction sector in Latvia in 2021-2025.</w:t>
    </w:r>
    <w:r w:rsidR="003A3F87" w:rsidRPr="00834C77">
      <w:rPr>
        <w:sz w:val="16"/>
        <w:szCs w:val="16"/>
        <w:lang w:val="en-US"/>
      </w:rPr>
      <w:t xml:space="preserve"> </w:t>
    </w:r>
    <w:r w:rsidR="003A3F87" w:rsidRPr="00834C77">
      <w:rPr>
        <w:rFonts w:cstheme="minorHAnsi"/>
        <w:sz w:val="16"/>
        <w:szCs w:val="16"/>
        <w:lang w:val="en-US"/>
      </w:rPr>
      <w:t>|</w:t>
    </w:r>
    <w:r w:rsidR="003A3F87" w:rsidRPr="00834C77">
      <w:rPr>
        <w:sz w:val="16"/>
        <w:szCs w:val="16"/>
        <w:lang w:val="en-US"/>
      </w:rPr>
      <w:t xml:space="preserve"> ID Nr. EM 2021/15 </w:t>
    </w:r>
    <w:r w:rsidR="003A3F87" w:rsidRPr="00834C77">
      <w:rPr>
        <w:rFonts w:cstheme="minorHAnsi"/>
        <w:sz w:val="16"/>
        <w:szCs w:val="16"/>
        <w:lang w:val="en-US"/>
      </w:rPr>
      <w:t>|</w:t>
    </w:r>
    <w:r w:rsidR="003A3F87" w:rsidRPr="00834C77">
      <w:rPr>
        <w:sz w:val="16"/>
        <w:szCs w:val="16"/>
        <w:lang w:val="en-US"/>
      </w:rPr>
      <w:t xml:space="preserve"> </w:t>
    </w:r>
    <w:r w:rsidR="00834C77" w:rsidRPr="00834C77">
      <w:rPr>
        <w:sz w:val="16"/>
        <w:szCs w:val="16"/>
        <w:lang w:val="en-US"/>
      </w:rPr>
      <w:t>Final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735E6"/>
    <w:multiLevelType w:val="hybridMultilevel"/>
    <w:tmpl w:val="6D723D86"/>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 w15:restartNumberingAfterBreak="0">
    <w:nsid w:val="035206E6"/>
    <w:multiLevelType w:val="hybridMultilevel"/>
    <w:tmpl w:val="884E7784"/>
    <w:lvl w:ilvl="0" w:tplc="08090015">
      <w:start w:val="1"/>
      <w:numFmt w:val="upperLetter"/>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 w15:restartNumberingAfterBreak="0">
    <w:nsid w:val="05F4199F"/>
    <w:multiLevelType w:val="hybridMultilevel"/>
    <w:tmpl w:val="AE0204B0"/>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 w15:restartNumberingAfterBreak="0">
    <w:nsid w:val="17567860"/>
    <w:multiLevelType w:val="hybridMultilevel"/>
    <w:tmpl w:val="9E7097D6"/>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184426AF"/>
    <w:multiLevelType w:val="hybridMultilevel"/>
    <w:tmpl w:val="911689C0"/>
    <w:lvl w:ilvl="0" w:tplc="0809000F">
      <w:start w:val="1"/>
      <w:numFmt w:val="decimal"/>
      <w:lvlText w:val="%1."/>
      <w:lvlJc w:val="left"/>
      <w:pPr>
        <w:ind w:left="1440" w:hanging="360"/>
      </w:pPr>
      <w:rPr>
        <w:rFonts w:hint="default"/>
      </w:rPr>
    </w:lvl>
    <w:lvl w:ilvl="1" w:tplc="04260003">
      <w:start w:val="1"/>
      <w:numFmt w:val="bullet"/>
      <w:lvlText w:val="o"/>
      <w:lvlJc w:val="left"/>
      <w:pPr>
        <w:ind w:left="2160" w:hanging="360"/>
      </w:pPr>
      <w:rPr>
        <w:rFonts w:ascii="Courier New" w:hAnsi="Courier New" w:cs="Courier New" w:hint="default"/>
      </w:rPr>
    </w:lvl>
    <w:lvl w:ilvl="2" w:tplc="CE94BA52">
      <w:start w:val="2020"/>
      <w:numFmt w:val="bullet"/>
      <w:lvlText w:val="-"/>
      <w:lvlJc w:val="left"/>
      <w:pPr>
        <w:ind w:left="2880" w:hanging="360"/>
      </w:pPr>
      <w:rPr>
        <w:rFonts w:ascii="Times New Roman" w:eastAsiaTheme="minorHAnsi" w:hAnsi="Times New Roman" w:cs="Times New Roman"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 w15:restartNumberingAfterBreak="0">
    <w:nsid w:val="1DB679B4"/>
    <w:multiLevelType w:val="hybridMultilevel"/>
    <w:tmpl w:val="713ECD6E"/>
    <w:lvl w:ilvl="0" w:tplc="04260001">
      <w:start w:val="1"/>
      <w:numFmt w:val="bullet"/>
      <w:lvlText w:val=""/>
      <w:lvlJc w:val="left"/>
      <w:pPr>
        <w:ind w:left="1584" w:hanging="360"/>
      </w:pPr>
      <w:rPr>
        <w:rFonts w:ascii="Symbol" w:hAnsi="Symbol" w:hint="default"/>
      </w:rPr>
    </w:lvl>
    <w:lvl w:ilvl="1" w:tplc="04260003">
      <w:start w:val="1"/>
      <w:numFmt w:val="bullet"/>
      <w:lvlText w:val="o"/>
      <w:lvlJc w:val="left"/>
      <w:pPr>
        <w:ind w:left="1584" w:hanging="360"/>
      </w:pPr>
      <w:rPr>
        <w:rFonts w:ascii="Courier New" w:hAnsi="Courier New" w:cs="Courier New" w:hint="default"/>
      </w:rPr>
    </w:lvl>
    <w:lvl w:ilvl="2" w:tplc="04260005" w:tentative="1">
      <w:start w:val="1"/>
      <w:numFmt w:val="bullet"/>
      <w:lvlText w:val=""/>
      <w:lvlJc w:val="left"/>
      <w:pPr>
        <w:ind w:left="2304" w:hanging="360"/>
      </w:pPr>
      <w:rPr>
        <w:rFonts w:ascii="Wingdings" w:hAnsi="Wingdings" w:hint="default"/>
      </w:rPr>
    </w:lvl>
    <w:lvl w:ilvl="3" w:tplc="04260001" w:tentative="1">
      <w:start w:val="1"/>
      <w:numFmt w:val="bullet"/>
      <w:lvlText w:val=""/>
      <w:lvlJc w:val="left"/>
      <w:pPr>
        <w:ind w:left="3024" w:hanging="360"/>
      </w:pPr>
      <w:rPr>
        <w:rFonts w:ascii="Symbol" w:hAnsi="Symbol" w:hint="default"/>
      </w:rPr>
    </w:lvl>
    <w:lvl w:ilvl="4" w:tplc="04260003" w:tentative="1">
      <w:start w:val="1"/>
      <w:numFmt w:val="bullet"/>
      <w:lvlText w:val="o"/>
      <w:lvlJc w:val="left"/>
      <w:pPr>
        <w:ind w:left="3744" w:hanging="360"/>
      </w:pPr>
      <w:rPr>
        <w:rFonts w:ascii="Courier New" w:hAnsi="Courier New" w:cs="Courier New" w:hint="default"/>
      </w:rPr>
    </w:lvl>
    <w:lvl w:ilvl="5" w:tplc="04260005" w:tentative="1">
      <w:start w:val="1"/>
      <w:numFmt w:val="bullet"/>
      <w:lvlText w:val=""/>
      <w:lvlJc w:val="left"/>
      <w:pPr>
        <w:ind w:left="4464" w:hanging="360"/>
      </w:pPr>
      <w:rPr>
        <w:rFonts w:ascii="Wingdings" w:hAnsi="Wingdings" w:hint="default"/>
      </w:rPr>
    </w:lvl>
    <w:lvl w:ilvl="6" w:tplc="04260001" w:tentative="1">
      <w:start w:val="1"/>
      <w:numFmt w:val="bullet"/>
      <w:lvlText w:val=""/>
      <w:lvlJc w:val="left"/>
      <w:pPr>
        <w:ind w:left="5184" w:hanging="360"/>
      </w:pPr>
      <w:rPr>
        <w:rFonts w:ascii="Symbol" w:hAnsi="Symbol" w:hint="default"/>
      </w:rPr>
    </w:lvl>
    <w:lvl w:ilvl="7" w:tplc="04260003" w:tentative="1">
      <w:start w:val="1"/>
      <w:numFmt w:val="bullet"/>
      <w:lvlText w:val="o"/>
      <w:lvlJc w:val="left"/>
      <w:pPr>
        <w:ind w:left="5904" w:hanging="360"/>
      </w:pPr>
      <w:rPr>
        <w:rFonts w:ascii="Courier New" w:hAnsi="Courier New" w:cs="Courier New" w:hint="default"/>
      </w:rPr>
    </w:lvl>
    <w:lvl w:ilvl="8" w:tplc="04260005" w:tentative="1">
      <w:start w:val="1"/>
      <w:numFmt w:val="bullet"/>
      <w:lvlText w:val=""/>
      <w:lvlJc w:val="left"/>
      <w:pPr>
        <w:ind w:left="6624" w:hanging="360"/>
      </w:pPr>
      <w:rPr>
        <w:rFonts w:ascii="Wingdings" w:hAnsi="Wingdings" w:hint="default"/>
      </w:rPr>
    </w:lvl>
  </w:abstractNum>
  <w:abstractNum w:abstractNumId="6" w15:restartNumberingAfterBreak="0">
    <w:nsid w:val="22346B51"/>
    <w:multiLevelType w:val="hybridMultilevel"/>
    <w:tmpl w:val="AE0204B0"/>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7" w15:restartNumberingAfterBreak="0">
    <w:nsid w:val="253048DA"/>
    <w:multiLevelType w:val="hybridMultilevel"/>
    <w:tmpl w:val="1D268CC0"/>
    <w:lvl w:ilvl="0" w:tplc="08090015">
      <w:start w:val="1"/>
      <w:numFmt w:val="upperLetter"/>
      <w:lvlText w:val="%1."/>
      <w:lvlJc w:val="left"/>
      <w:pPr>
        <w:ind w:left="1584" w:hanging="360"/>
      </w:pPr>
      <w:rPr>
        <w:rFonts w:hint="default"/>
      </w:rPr>
    </w:lvl>
    <w:lvl w:ilvl="1" w:tplc="04260003">
      <w:start w:val="1"/>
      <w:numFmt w:val="bullet"/>
      <w:lvlText w:val="o"/>
      <w:lvlJc w:val="left"/>
      <w:pPr>
        <w:ind w:left="1584" w:hanging="360"/>
      </w:pPr>
      <w:rPr>
        <w:rFonts w:ascii="Courier New" w:hAnsi="Courier New" w:cs="Courier New" w:hint="default"/>
      </w:rPr>
    </w:lvl>
    <w:lvl w:ilvl="2" w:tplc="04260005" w:tentative="1">
      <w:start w:val="1"/>
      <w:numFmt w:val="bullet"/>
      <w:lvlText w:val=""/>
      <w:lvlJc w:val="left"/>
      <w:pPr>
        <w:ind w:left="2304" w:hanging="360"/>
      </w:pPr>
      <w:rPr>
        <w:rFonts w:ascii="Wingdings" w:hAnsi="Wingdings" w:hint="default"/>
      </w:rPr>
    </w:lvl>
    <w:lvl w:ilvl="3" w:tplc="04260001" w:tentative="1">
      <w:start w:val="1"/>
      <w:numFmt w:val="bullet"/>
      <w:lvlText w:val=""/>
      <w:lvlJc w:val="left"/>
      <w:pPr>
        <w:ind w:left="3024" w:hanging="360"/>
      </w:pPr>
      <w:rPr>
        <w:rFonts w:ascii="Symbol" w:hAnsi="Symbol" w:hint="default"/>
      </w:rPr>
    </w:lvl>
    <w:lvl w:ilvl="4" w:tplc="04260003" w:tentative="1">
      <w:start w:val="1"/>
      <w:numFmt w:val="bullet"/>
      <w:lvlText w:val="o"/>
      <w:lvlJc w:val="left"/>
      <w:pPr>
        <w:ind w:left="3744" w:hanging="360"/>
      </w:pPr>
      <w:rPr>
        <w:rFonts w:ascii="Courier New" w:hAnsi="Courier New" w:cs="Courier New" w:hint="default"/>
      </w:rPr>
    </w:lvl>
    <w:lvl w:ilvl="5" w:tplc="04260005" w:tentative="1">
      <w:start w:val="1"/>
      <w:numFmt w:val="bullet"/>
      <w:lvlText w:val=""/>
      <w:lvlJc w:val="left"/>
      <w:pPr>
        <w:ind w:left="4464" w:hanging="360"/>
      </w:pPr>
      <w:rPr>
        <w:rFonts w:ascii="Wingdings" w:hAnsi="Wingdings" w:hint="default"/>
      </w:rPr>
    </w:lvl>
    <w:lvl w:ilvl="6" w:tplc="04260001" w:tentative="1">
      <w:start w:val="1"/>
      <w:numFmt w:val="bullet"/>
      <w:lvlText w:val=""/>
      <w:lvlJc w:val="left"/>
      <w:pPr>
        <w:ind w:left="5184" w:hanging="360"/>
      </w:pPr>
      <w:rPr>
        <w:rFonts w:ascii="Symbol" w:hAnsi="Symbol" w:hint="default"/>
      </w:rPr>
    </w:lvl>
    <w:lvl w:ilvl="7" w:tplc="04260003" w:tentative="1">
      <w:start w:val="1"/>
      <w:numFmt w:val="bullet"/>
      <w:lvlText w:val="o"/>
      <w:lvlJc w:val="left"/>
      <w:pPr>
        <w:ind w:left="5904" w:hanging="360"/>
      </w:pPr>
      <w:rPr>
        <w:rFonts w:ascii="Courier New" w:hAnsi="Courier New" w:cs="Courier New" w:hint="default"/>
      </w:rPr>
    </w:lvl>
    <w:lvl w:ilvl="8" w:tplc="04260005" w:tentative="1">
      <w:start w:val="1"/>
      <w:numFmt w:val="bullet"/>
      <w:lvlText w:val=""/>
      <w:lvlJc w:val="left"/>
      <w:pPr>
        <w:ind w:left="6624" w:hanging="360"/>
      </w:pPr>
      <w:rPr>
        <w:rFonts w:ascii="Wingdings" w:hAnsi="Wingdings" w:hint="default"/>
      </w:rPr>
    </w:lvl>
  </w:abstractNum>
  <w:abstractNum w:abstractNumId="8" w15:restartNumberingAfterBreak="0">
    <w:nsid w:val="25403120"/>
    <w:multiLevelType w:val="hybridMultilevel"/>
    <w:tmpl w:val="AEF6891A"/>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5FC7E77"/>
    <w:multiLevelType w:val="hybridMultilevel"/>
    <w:tmpl w:val="AEF6891A"/>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0" w15:restartNumberingAfterBreak="0">
    <w:nsid w:val="2E2F6FA1"/>
    <w:multiLevelType w:val="hybridMultilevel"/>
    <w:tmpl w:val="6D723D86"/>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15:restartNumberingAfterBreak="0">
    <w:nsid w:val="30185766"/>
    <w:multiLevelType w:val="hybridMultilevel"/>
    <w:tmpl w:val="6752429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2" w15:restartNumberingAfterBreak="0">
    <w:nsid w:val="31386BD2"/>
    <w:multiLevelType w:val="hybridMultilevel"/>
    <w:tmpl w:val="57723EA4"/>
    <w:lvl w:ilvl="0" w:tplc="0809000F">
      <w:start w:val="1"/>
      <w:numFmt w:val="decimal"/>
      <w:lvlText w:val="%1."/>
      <w:lvlJc w:val="left"/>
      <w:pPr>
        <w:ind w:left="1440" w:hanging="360"/>
      </w:pPr>
      <w:rPr>
        <w:rFonts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3" w15:restartNumberingAfterBreak="0">
    <w:nsid w:val="32FA502F"/>
    <w:multiLevelType w:val="hybridMultilevel"/>
    <w:tmpl w:val="AF6E95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36B55F6"/>
    <w:multiLevelType w:val="hybridMultilevel"/>
    <w:tmpl w:val="FC2CB5E2"/>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5" w15:restartNumberingAfterBreak="0">
    <w:nsid w:val="3AE80CC7"/>
    <w:multiLevelType w:val="hybridMultilevel"/>
    <w:tmpl w:val="C1A69A12"/>
    <w:lvl w:ilvl="0" w:tplc="0809000F">
      <w:start w:val="1"/>
      <w:numFmt w:val="decimal"/>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 w15:restartNumberingAfterBreak="0">
    <w:nsid w:val="406F28D2"/>
    <w:multiLevelType w:val="hybridMultilevel"/>
    <w:tmpl w:val="84F2D438"/>
    <w:lvl w:ilvl="0" w:tplc="0809000F">
      <w:start w:val="1"/>
      <w:numFmt w:val="decimal"/>
      <w:lvlText w:val="%1."/>
      <w:lvlJc w:val="left"/>
      <w:pPr>
        <w:ind w:left="1080" w:hanging="360"/>
      </w:pPr>
      <w:rPr>
        <w:rFont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7" w15:restartNumberingAfterBreak="0">
    <w:nsid w:val="40A42436"/>
    <w:multiLevelType w:val="hybridMultilevel"/>
    <w:tmpl w:val="CFD00C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4E861D9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3DB2D07"/>
    <w:multiLevelType w:val="multilevel"/>
    <w:tmpl w:val="1F9E4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6A37303"/>
    <w:multiLevelType w:val="hybridMultilevel"/>
    <w:tmpl w:val="F73410D8"/>
    <w:lvl w:ilvl="0" w:tplc="04260003">
      <w:start w:val="1"/>
      <w:numFmt w:val="bullet"/>
      <w:lvlText w:val="o"/>
      <w:lvlJc w:val="left"/>
      <w:pPr>
        <w:ind w:left="360" w:hanging="360"/>
      </w:pPr>
      <w:rPr>
        <w:rFonts w:ascii="Courier New" w:hAnsi="Courier New" w:cs="Courier New"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1" w15:restartNumberingAfterBreak="0">
    <w:nsid w:val="5A65155D"/>
    <w:multiLevelType w:val="hybridMultilevel"/>
    <w:tmpl w:val="7CE4C084"/>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2" w15:restartNumberingAfterBreak="0">
    <w:nsid w:val="5BF05314"/>
    <w:multiLevelType w:val="multilevel"/>
    <w:tmpl w:val="E2B02AFE"/>
    <w:lvl w:ilvl="0">
      <w:start w:val="1"/>
      <w:numFmt w:val="upperLetter"/>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3" w15:restartNumberingAfterBreak="0">
    <w:nsid w:val="6EAD3F64"/>
    <w:multiLevelType w:val="hybridMultilevel"/>
    <w:tmpl w:val="553661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7652616"/>
    <w:multiLevelType w:val="hybridMultilevel"/>
    <w:tmpl w:val="C4CC6CE4"/>
    <w:lvl w:ilvl="0" w:tplc="08090015">
      <w:start w:val="1"/>
      <w:numFmt w:val="upperLetter"/>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77D61D43"/>
    <w:multiLevelType w:val="hybridMultilevel"/>
    <w:tmpl w:val="95742F5A"/>
    <w:lvl w:ilvl="0" w:tplc="08090015">
      <w:start w:val="1"/>
      <w:numFmt w:val="upperLetter"/>
      <w:lvlText w:val="%1."/>
      <w:lvlJc w:val="left"/>
      <w:pPr>
        <w:ind w:left="1080" w:hanging="360"/>
      </w:pPr>
      <w:rPr>
        <w:rFont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6" w15:restartNumberingAfterBreak="0">
    <w:nsid w:val="79230E65"/>
    <w:multiLevelType w:val="hybridMultilevel"/>
    <w:tmpl w:val="FB9C4126"/>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7" w15:restartNumberingAfterBreak="0">
    <w:nsid w:val="79C5522F"/>
    <w:multiLevelType w:val="hybridMultilevel"/>
    <w:tmpl w:val="30FE081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7B2C0D09"/>
    <w:multiLevelType w:val="hybridMultilevel"/>
    <w:tmpl w:val="76AAB264"/>
    <w:lvl w:ilvl="0" w:tplc="0809000F">
      <w:start w:val="1"/>
      <w:numFmt w:val="decimal"/>
      <w:lvlText w:val="%1."/>
      <w:lvlJc w:val="left"/>
      <w:pPr>
        <w:ind w:left="1080" w:hanging="360"/>
      </w:pPr>
      <w:rPr>
        <w:rFont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num w:numId="1">
    <w:abstractNumId w:val="20"/>
  </w:num>
  <w:num w:numId="2">
    <w:abstractNumId w:val="8"/>
  </w:num>
  <w:num w:numId="3">
    <w:abstractNumId w:val="10"/>
  </w:num>
  <w:num w:numId="4">
    <w:abstractNumId w:val="0"/>
  </w:num>
  <w:num w:numId="5">
    <w:abstractNumId w:val="18"/>
  </w:num>
  <w:num w:numId="6">
    <w:abstractNumId w:val="9"/>
  </w:num>
  <w:num w:numId="7">
    <w:abstractNumId w:val="14"/>
  </w:num>
  <w:num w:numId="8">
    <w:abstractNumId w:val="3"/>
  </w:num>
  <w:num w:numId="9">
    <w:abstractNumId w:val="21"/>
  </w:num>
  <w:num w:numId="10">
    <w:abstractNumId w:val="26"/>
  </w:num>
  <w:num w:numId="11">
    <w:abstractNumId w:val="6"/>
  </w:num>
  <w:num w:numId="12">
    <w:abstractNumId w:val="27"/>
  </w:num>
  <w:num w:numId="13">
    <w:abstractNumId w:val="22"/>
  </w:num>
  <w:num w:numId="14">
    <w:abstractNumId w:val="4"/>
  </w:num>
  <w:num w:numId="15">
    <w:abstractNumId w:val="1"/>
  </w:num>
  <w:num w:numId="16">
    <w:abstractNumId w:val="7"/>
  </w:num>
  <w:num w:numId="17">
    <w:abstractNumId w:val="24"/>
  </w:num>
  <w:num w:numId="18">
    <w:abstractNumId w:val="28"/>
  </w:num>
  <w:num w:numId="19">
    <w:abstractNumId w:val="12"/>
  </w:num>
  <w:num w:numId="20">
    <w:abstractNumId w:val="16"/>
  </w:num>
  <w:num w:numId="21">
    <w:abstractNumId w:val="15"/>
  </w:num>
  <w:num w:numId="22">
    <w:abstractNumId w:val="25"/>
  </w:num>
  <w:num w:numId="23">
    <w:abstractNumId w:val="23"/>
  </w:num>
  <w:num w:numId="24">
    <w:abstractNumId w:val="19"/>
  </w:num>
  <w:num w:numId="25">
    <w:abstractNumId w:val="2"/>
  </w:num>
  <w:num w:numId="26">
    <w:abstractNumId w:val="5"/>
  </w:num>
  <w:num w:numId="27">
    <w:abstractNumId w:val="11"/>
  </w:num>
  <w:num w:numId="28">
    <w:abstractNumId w:val="13"/>
  </w:num>
  <w:num w:numId="29">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displayVerticalDrawingGridEvery w:val="2"/>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B66"/>
    <w:rsid w:val="00000155"/>
    <w:rsid w:val="00002545"/>
    <w:rsid w:val="0000289B"/>
    <w:rsid w:val="0000418A"/>
    <w:rsid w:val="0000450F"/>
    <w:rsid w:val="00004FC2"/>
    <w:rsid w:val="000052A2"/>
    <w:rsid w:val="0000619E"/>
    <w:rsid w:val="00006DB6"/>
    <w:rsid w:val="00007835"/>
    <w:rsid w:val="000101AA"/>
    <w:rsid w:val="000117B5"/>
    <w:rsid w:val="00011834"/>
    <w:rsid w:val="00011FD4"/>
    <w:rsid w:val="0001242E"/>
    <w:rsid w:val="0001271C"/>
    <w:rsid w:val="00012748"/>
    <w:rsid w:val="000127BE"/>
    <w:rsid w:val="00012AEC"/>
    <w:rsid w:val="00013166"/>
    <w:rsid w:val="00014BEC"/>
    <w:rsid w:val="0001595C"/>
    <w:rsid w:val="00015C48"/>
    <w:rsid w:val="00016C0D"/>
    <w:rsid w:val="00022D38"/>
    <w:rsid w:val="00022E24"/>
    <w:rsid w:val="00022F99"/>
    <w:rsid w:val="00023637"/>
    <w:rsid w:val="00024017"/>
    <w:rsid w:val="0002428B"/>
    <w:rsid w:val="00025BCB"/>
    <w:rsid w:val="00026D39"/>
    <w:rsid w:val="00026FD2"/>
    <w:rsid w:val="000279CB"/>
    <w:rsid w:val="000308D9"/>
    <w:rsid w:val="00030F33"/>
    <w:rsid w:val="000311DF"/>
    <w:rsid w:val="00031BE9"/>
    <w:rsid w:val="00031E66"/>
    <w:rsid w:val="000324E8"/>
    <w:rsid w:val="000335DF"/>
    <w:rsid w:val="00034514"/>
    <w:rsid w:val="0003475D"/>
    <w:rsid w:val="00034B0D"/>
    <w:rsid w:val="00035DC0"/>
    <w:rsid w:val="00035DF1"/>
    <w:rsid w:val="000366BD"/>
    <w:rsid w:val="00040C30"/>
    <w:rsid w:val="0004325F"/>
    <w:rsid w:val="00043578"/>
    <w:rsid w:val="00044607"/>
    <w:rsid w:val="00044904"/>
    <w:rsid w:val="000450FC"/>
    <w:rsid w:val="00045C2B"/>
    <w:rsid w:val="00046AB4"/>
    <w:rsid w:val="00047FCF"/>
    <w:rsid w:val="000515F0"/>
    <w:rsid w:val="00052033"/>
    <w:rsid w:val="00052297"/>
    <w:rsid w:val="00052326"/>
    <w:rsid w:val="00053733"/>
    <w:rsid w:val="000543B9"/>
    <w:rsid w:val="00055F8C"/>
    <w:rsid w:val="000562A5"/>
    <w:rsid w:val="00056B45"/>
    <w:rsid w:val="00056DC5"/>
    <w:rsid w:val="00057657"/>
    <w:rsid w:val="00060522"/>
    <w:rsid w:val="000609F9"/>
    <w:rsid w:val="00061133"/>
    <w:rsid w:val="0006153D"/>
    <w:rsid w:val="00062A8A"/>
    <w:rsid w:val="00062FCA"/>
    <w:rsid w:val="00063764"/>
    <w:rsid w:val="00063CF5"/>
    <w:rsid w:val="00064767"/>
    <w:rsid w:val="00064B98"/>
    <w:rsid w:val="00064F1B"/>
    <w:rsid w:val="00065073"/>
    <w:rsid w:val="00066560"/>
    <w:rsid w:val="00066ED8"/>
    <w:rsid w:val="00073201"/>
    <w:rsid w:val="0007493A"/>
    <w:rsid w:val="0007555F"/>
    <w:rsid w:val="00077097"/>
    <w:rsid w:val="00077212"/>
    <w:rsid w:val="00077F69"/>
    <w:rsid w:val="000801DB"/>
    <w:rsid w:val="0008095B"/>
    <w:rsid w:val="00082508"/>
    <w:rsid w:val="00083D6B"/>
    <w:rsid w:val="000846BB"/>
    <w:rsid w:val="0008595C"/>
    <w:rsid w:val="00086851"/>
    <w:rsid w:val="00086B5B"/>
    <w:rsid w:val="000871D1"/>
    <w:rsid w:val="00087BAD"/>
    <w:rsid w:val="00090154"/>
    <w:rsid w:val="00091189"/>
    <w:rsid w:val="0009313D"/>
    <w:rsid w:val="00094DE7"/>
    <w:rsid w:val="0009514C"/>
    <w:rsid w:val="00095280"/>
    <w:rsid w:val="00095908"/>
    <w:rsid w:val="00095DC9"/>
    <w:rsid w:val="00096B19"/>
    <w:rsid w:val="00097397"/>
    <w:rsid w:val="0009792E"/>
    <w:rsid w:val="000A1412"/>
    <w:rsid w:val="000A276E"/>
    <w:rsid w:val="000A340E"/>
    <w:rsid w:val="000A5376"/>
    <w:rsid w:val="000B090F"/>
    <w:rsid w:val="000B0EEB"/>
    <w:rsid w:val="000B235A"/>
    <w:rsid w:val="000B2472"/>
    <w:rsid w:val="000B3507"/>
    <w:rsid w:val="000B461C"/>
    <w:rsid w:val="000B5468"/>
    <w:rsid w:val="000B5CA0"/>
    <w:rsid w:val="000C018A"/>
    <w:rsid w:val="000C0308"/>
    <w:rsid w:val="000C0E92"/>
    <w:rsid w:val="000C1A64"/>
    <w:rsid w:val="000C20D5"/>
    <w:rsid w:val="000C2BFB"/>
    <w:rsid w:val="000C2CDE"/>
    <w:rsid w:val="000C3069"/>
    <w:rsid w:val="000C3536"/>
    <w:rsid w:val="000C3FE4"/>
    <w:rsid w:val="000C4B1D"/>
    <w:rsid w:val="000C54B8"/>
    <w:rsid w:val="000C56B5"/>
    <w:rsid w:val="000C6767"/>
    <w:rsid w:val="000C7F13"/>
    <w:rsid w:val="000D1D1F"/>
    <w:rsid w:val="000D24BB"/>
    <w:rsid w:val="000D26F4"/>
    <w:rsid w:val="000D2794"/>
    <w:rsid w:val="000D5070"/>
    <w:rsid w:val="000D66AC"/>
    <w:rsid w:val="000D772D"/>
    <w:rsid w:val="000E1653"/>
    <w:rsid w:val="000E175F"/>
    <w:rsid w:val="000E23CA"/>
    <w:rsid w:val="000E3E96"/>
    <w:rsid w:val="000E44AC"/>
    <w:rsid w:val="000E6C7D"/>
    <w:rsid w:val="000E73A2"/>
    <w:rsid w:val="000E7A3D"/>
    <w:rsid w:val="000F0C00"/>
    <w:rsid w:val="000F0D08"/>
    <w:rsid w:val="000F2215"/>
    <w:rsid w:val="000F3C80"/>
    <w:rsid w:val="000F45CB"/>
    <w:rsid w:val="000F6088"/>
    <w:rsid w:val="000F79AD"/>
    <w:rsid w:val="000F7BEF"/>
    <w:rsid w:val="000F7C23"/>
    <w:rsid w:val="0010246A"/>
    <w:rsid w:val="00103293"/>
    <w:rsid w:val="001059A5"/>
    <w:rsid w:val="0010785C"/>
    <w:rsid w:val="0011226F"/>
    <w:rsid w:val="00112A3F"/>
    <w:rsid w:val="001130E7"/>
    <w:rsid w:val="00114799"/>
    <w:rsid w:val="00114DDA"/>
    <w:rsid w:val="001156D2"/>
    <w:rsid w:val="00115931"/>
    <w:rsid w:val="00115A13"/>
    <w:rsid w:val="00115A4A"/>
    <w:rsid w:val="0011681B"/>
    <w:rsid w:val="00116E3D"/>
    <w:rsid w:val="001178A7"/>
    <w:rsid w:val="001205DA"/>
    <w:rsid w:val="0012141D"/>
    <w:rsid w:val="001217BC"/>
    <w:rsid w:val="00121EA6"/>
    <w:rsid w:val="001223A6"/>
    <w:rsid w:val="00122524"/>
    <w:rsid w:val="0012332B"/>
    <w:rsid w:val="001234E3"/>
    <w:rsid w:val="00123E27"/>
    <w:rsid w:val="001267AE"/>
    <w:rsid w:val="00131641"/>
    <w:rsid w:val="0013536D"/>
    <w:rsid w:val="00137231"/>
    <w:rsid w:val="00140313"/>
    <w:rsid w:val="001403EB"/>
    <w:rsid w:val="00141217"/>
    <w:rsid w:val="00142ED1"/>
    <w:rsid w:val="00143D4C"/>
    <w:rsid w:val="00144024"/>
    <w:rsid w:val="001447A9"/>
    <w:rsid w:val="00145292"/>
    <w:rsid w:val="00145500"/>
    <w:rsid w:val="00145C51"/>
    <w:rsid w:val="00145F43"/>
    <w:rsid w:val="00146C73"/>
    <w:rsid w:val="0014710E"/>
    <w:rsid w:val="0015011E"/>
    <w:rsid w:val="001503B3"/>
    <w:rsid w:val="0015049F"/>
    <w:rsid w:val="00150E77"/>
    <w:rsid w:val="0015100E"/>
    <w:rsid w:val="00151063"/>
    <w:rsid w:val="00152CE6"/>
    <w:rsid w:val="00152E7F"/>
    <w:rsid w:val="001536BB"/>
    <w:rsid w:val="00153C84"/>
    <w:rsid w:val="00154B44"/>
    <w:rsid w:val="00154F92"/>
    <w:rsid w:val="001555E9"/>
    <w:rsid w:val="00155DA8"/>
    <w:rsid w:val="00156726"/>
    <w:rsid w:val="0015684B"/>
    <w:rsid w:val="001568E4"/>
    <w:rsid w:val="001605D6"/>
    <w:rsid w:val="0016119F"/>
    <w:rsid w:val="0016126C"/>
    <w:rsid w:val="00163B58"/>
    <w:rsid w:val="001641C6"/>
    <w:rsid w:val="0016425F"/>
    <w:rsid w:val="001647A4"/>
    <w:rsid w:val="001657F3"/>
    <w:rsid w:val="00165802"/>
    <w:rsid w:val="001676A7"/>
    <w:rsid w:val="001676D9"/>
    <w:rsid w:val="00167BB5"/>
    <w:rsid w:val="001704C2"/>
    <w:rsid w:val="00170F58"/>
    <w:rsid w:val="001719E4"/>
    <w:rsid w:val="0017231B"/>
    <w:rsid w:val="00172578"/>
    <w:rsid w:val="001738A3"/>
    <w:rsid w:val="00173B3D"/>
    <w:rsid w:val="00175C07"/>
    <w:rsid w:val="0017621D"/>
    <w:rsid w:val="001803DD"/>
    <w:rsid w:val="001810BF"/>
    <w:rsid w:val="0018196A"/>
    <w:rsid w:val="00182056"/>
    <w:rsid w:val="00182E81"/>
    <w:rsid w:val="001833B6"/>
    <w:rsid w:val="00183757"/>
    <w:rsid w:val="001844D3"/>
    <w:rsid w:val="00184675"/>
    <w:rsid w:val="00185238"/>
    <w:rsid w:val="0018638A"/>
    <w:rsid w:val="00186A7B"/>
    <w:rsid w:val="00186AC2"/>
    <w:rsid w:val="00187603"/>
    <w:rsid w:val="00190774"/>
    <w:rsid w:val="00190F0B"/>
    <w:rsid w:val="00191197"/>
    <w:rsid w:val="00192D7F"/>
    <w:rsid w:val="00193082"/>
    <w:rsid w:val="0019317A"/>
    <w:rsid w:val="00194720"/>
    <w:rsid w:val="001A12F6"/>
    <w:rsid w:val="001A2641"/>
    <w:rsid w:val="001A4AFF"/>
    <w:rsid w:val="001A6B17"/>
    <w:rsid w:val="001A72D7"/>
    <w:rsid w:val="001B0C98"/>
    <w:rsid w:val="001B18DE"/>
    <w:rsid w:val="001B19EE"/>
    <w:rsid w:val="001B19FE"/>
    <w:rsid w:val="001B2AA5"/>
    <w:rsid w:val="001B2B9D"/>
    <w:rsid w:val="001B438E"/>
    <w:rsid w:val="001B6243"/>
    <w:rsid w:val="001B7A52"/>
    <w:rsid w:val="001C0915"/>
    <w:rsid w:val="001C102E"/>
    <w:rsid w:val="001C13D1"/>
    <w:rsid w:val="001C24B5"/>
    <w:rsid w:val="001C3C48"/>
    <w:rsid w:val="001C3CAA"/>
    <w:rsid w:val="001C3E91"/>
    <w:rsid w:val="001C723F"/>
    <w:rsid w:val="001C7E64"/>
    <w:rsid w:val="001D0FFC"/>
    <w:rsid w:val="001D19D1"/>
    <w:rsid w:val="001D26CA"/>
    <w:rsid w:val="001D3DBE"/>
    <w:rsid w:val="001D4FCC"/>
    <w:rsid w:val="001D58B8"/>
    <w:rsid w:val="001E069F"/>
    <w:rsid w:val="001E1A18"/>
    <w:rsid w:val="001E1B79"/>
    <w:rsid w:val="001E1BCC"/>
    <w:rsid w:val="001E1C0A"/>
    <w:rsid w:val="001E1F39"/>
    <w:rsid w:val="001E2718"/>
    <w:rsid w:val="001E35BF"/>
    <w:rsid w:val="001E510D"/>
    <w:rsid w:val="001E52FF"/>
    <w:rsid w:val="001E5EEB"/>
    <w:rsid w:val="001E6422"/>
    <w:rsid w:val="001E67FD"/>
    <w:rsid w:val="001F003C"/>
    <w:rsid w:val="001F087A"/>
    <w:rsid w:val="001F08E7"/>
    <w:rsid w:val="001F0AAA"/>
    <w:rsid w:val="001F11E5"/>
    <w:rsid w:val="001F14B0"/>
    <w:rsid w:val="001F3BEF"/>
    <w:rsid w:val="001F4CB4"/>
    <w:rsid w:val="001F4FFF"/>
    <w:rsid w:val="001F597D"/>
    <w:rsid w:val="001F6086"/>
    <w:rsid w:val="00200009"/>
    <w:rsid w:val="002006E6"/>
    <w:rsid w:val="00203F68"/>
    <w:rsid w:val="002040DC"/>
    <w:rsid w:val="00205D9D"/>
    <w:rsid w:val="002064A3"/>
    <w:rsid w:val="00206809"/>
    <w:rsid w:val="00206B52"/>
    <w:rsid w:val="00206E35"/>
    <w:rsid w:val="00207D2A"/>
    <w:rsid w:val="00210C71"/>
    <w:rsid w:val="0021382C"/>
    <w:rsid w:val="00213B73"/>
    <w:rsid w:val="00214480"/>
    <w:rsid w:val="00214E46"/>
    <w:rsid w:val="002201C6"/>
    <w:rsid w:val="00220419"/>
    <w:rsid w:val="00220C18"/>
    <w:rsid w:val="00222611"/>
    <w:rsid w:val="00222929"/>
    <w:rsid w:val="002242FF"/>
    <w:rsid w:val="00226783"/>
    <w:rsid w:val="00227C6F"/>
    <w:rsid w:val="00231C7A"/>
    <w:rsid w:val="00231DDE"/>
    <w:rsid w:val="0023204C"/>
    <w:rsid w:val="00232B22"/>
    <w:rsid w:val="00232EE8"/>
    <w:rsid w:val="00234553"/>
    <w:rsid w:val="00235358"/>
    <w:rsid w:val="002355AE"/>
    <w:rsid w:val="002365B7"/>
    <w:rsid w:val="00237F67"/>
    <w:rsid w:val="00241087"/>
    <w:rsid w:val="002411A7"/>
    <w:rsid w:val="002412FD"/>
    <w:rsid w:val="002419B4"/>
    <w:rsid w:val="00242532"/>
    <w:rsid w:val="00243039"/>
    <w:rsid w:val="002431D2"/>
    <w:rsid w:val="002434B2"/>
    <w:rsid w:val="00243F97"/>
    <w:rsid w:val="00245EE4"/>
    <w:rsid w:val="00247627"/>
    <w:rsid w:val="00247AAD"/>
    <w:rsid w:val="00247FE2"/>
    <w:rsid w:val="00252A7E"/>
    <w:rsid w:val="00252B97"/>
    <w:rsid w:val="00253C2C"/>
    <w:rsid w:val="00253CC9"/>
    <w:rsid w:val="0025596D"/>
    <w:rsid w:val="00255AA4"/>
    <w:rsid w:val="002564F9"/>
    <w:rsid w:val="00256D6B"/>
    <w:rsid w:val="002575E7"/>
    <w:rsid w:val="00260508"/>
    <w:rsid w:val="00261CC7"/>
    <w:rsid w:val="002629C7"/>
    <w:rsid w:val="002634EB"/>
    <w:rsid w:val="0026350F"/>
    <w:rsid w:val="002644CB"/>
    <w:rsid w:val="0026471C"/>
    <w:rsid w:val="0026613E"/>
    <w:rsid w:val="00266E91"/>
    <w:rsid w:val="002671C4"/>
    <w:rsid w:val="00267C75"/>
    <w:rsid w:val="00276B87"/>
    <w:rsid w:val="00276B8B"/>
    <w:rsid w:val="002772F8"/>
    <w:rsid w:val="002777C0"/>
    <w:rsid w:val="002816F0"/>
    <w:rsid w:val="00284D51"/>
    <w:rsid w:val="0029101C"/>
    <w:rsid w:val="00293DAC"/>
    <w:rsid w:val="00295264"/>
    <w:rsid w:val="00295D72"/>
    <w:rsid w:val="00296087"/>
    <w:rsid w:val="00296249"/>
    <w:rsid w:val="00296842"/>
    <w:rsid w:val="002A1159"/>
    <w:rsid w:val="002A1F01"/>
    <w:rsid w:val="002A2A72"/>
    <w:rsid w:val="002A3048"/>
    <w:rsid w:val="002A476C"/>
    <w:rsid w:val="002A6290"/>
    <w:rsid w:val="002A7B0D"/>
    <w:rsid w:val="002B05D7"/>
    <w:rsid w:val="002B099B"/>
    <w:rsid w:val="002B0C38"/>
    <w:rsid w:val="002B1675"/>
    <w:rsid w:val="002B1BC1"/>
    <w:rsid w:val="002B247E"/>
    <w:rsid w:val="002B276F"/>
    <w:rsid w:val="002B4345"/>
    <w:rsid w:val="002B440B"/>
    <w:rsid w:val="002B5845"/>
    <w:rsid w:val="002B590E"/>
    <w:rsid w:val="002B7048"/>
    <w:rsid w:val="002B70F7"/>
    <w:rsid w:val="002C0191"/>
    <w:rsid w:val="002C0988"/>
    <w:rsid w:val="002C0D33"/>
    <w:rsid w:val="002C0EE8"/>
    <w:rsid w:val="002C17A4"/>
    <w:rsid w:val="002C180F"/>
    <w:rsid w:val="002C294D"/>
    <w:rsid w:val="002C36A9"/>
    <w:rsid w:val="002C385B"/>
    <w:rsid w:val="002C5CB3"/>
    <w:rsid w:val="002C6E59"/>
    <w:rsid w:val="002C7457"/>
    <w:rsid w:val="002C7655"/>
    <w:rsid w:val="002C7DE4"/>
    <w:rsid w:val="002D06D1"/>
    <w:rsid w:val="002D166D"/>
    <w:rsid w:val="002D2E0F"/>
    <w:rsid w:val="002D486D"/>
    <w:rsid w:val="002D50E0"/>
    <w:rsid w:val="002D55C3"/>
    <w:rsid w:val="002E0A53"/>
    <w:rsid w:val="002E0A7F"/>
    <w:rsid w:val="002E184E"/>
    <w:rsid w:val="002E3B92"/>
    <w:rsid w:val="002E4131"/>
    <w:rsid w:val="002E7D89"/>
    <w:rsid w:val="002F1385"/>
    <w:rsid w:val="002F23B4"/>
    <w:rsid w:val="002F371C"/>
    <w:rsid w:val="002F3E7B"/>
    <w:rsid w:val="002F4B67"/>
    <w:rsid w:val="002F4E35"/>
    <w:rsid w:val="002F7879"/>
    <w:rsid w:val="003000F3"/>
    <w:rsid w:val="0030151E"/>
    <w:rsid w:val="00301BF4"/>
    <w:rsid w:val="003023E3"/>
    <w:rsid w:val="00302C63"/>
    <w:rsid w:val="00303B42"/>
    <w:rsid w:val="00303D73"/>
    <w:rsid w:val="00305422"/>
    <w:rsid w:val="00305927"/>
    <w:rsid w:val="0030707A"/>
    <w:rsid w:val="00307233"/>
    <w:rsid w:val="00307B79"/>
    <w:rsid w:val="003105C1"/>
    <w:rsid w:val="00310CD4"/>
    <w:rsid w:val="00310D99"/>
    <w:rsid w:val="00310E69"/>
    <w:rsid w:val="00311037"/>
    <w:rsid w:val="00311F49"/>
    <w:rsid w:val="00312AC2"/>
    <w:rsid w:val="0031373D"/>
    <w:rsid w:val="0031378F"/>
    <w:rsid w:val="00314997"/>
    <w:rsid w:val="0031723D"/>
    <w:rsid w:val="0032071D"/>
    <w:rsid w:val="00320C28"/>
    <w:rsid w:val="00326952"/>
    <w:rsid w:val="00326A3D"/>
    <w:rsid w:val="00326E0B"/>
    <w:rsid w:val="00327E52"/>
    <w:rsid w:val="0033034D"/>
    <w:rsid w:val="00331708"/>
    <w:rsid w:val="003323A2"/>
    <w:rsid w:val="003324CB"/>
    <w:rsid w:val="003331AF"/>
    <w:rsid w:val="003331F7"/>
    <w:rsid w:val="003338C6"/>
    <w:rsid w:val="0033446D"/>
    <w:rsid w:val="0033759A"/>
    <w:rsid w:val="003405ED"/>
    <w:rsid w:val="00340790"/>
    <w:rsid w:val="00341B8B"/>
    <w:rsid w:val="00342579"/>
    <w:rsid w:val="00342850"/>
    <w:rsid w:val="00344136"/>
    <w:rsid w:val="00344739"/>
    <w:rsid w:val="00345650"/>
    <w:rsid w:val="00345B37"/>
    <w:rsid w:val="003471E3"/>
    <w:rsid w:val="0034754A"/>
    <w:rsid w:val="00351834"/>
    <w:rsid w:val="00351B6E"/>
    <w:rsid w:val="00351F20"/>
    <w:rsid w:val="00351FC5"/>
    <w:rsid w:val="00353447"/>
    <w:rsid w:val="003539A5"/>
    <w:rsid w:val="003547A7"/>
    <w:rsid w:val="00354B16"/>
    <w:rsid w:val="00354D15"/>
    <w:rsid w:val="0035523D"/>
    <w:rsid w:val="00356ADF"/>
    <w:rsid w:val="00357D2D"/>
    <w:rsid w:val="00361621"/>
    <w:rsid w:val="0036225E"/>
    <w:rsid w:val="00362E4B"/>
    <w:rsid w:val="00362ECC"/>
    <w:rsid w:val="003634E8"/>
    <w:rsid w:val="00363B39"/>
    <w:rsid w:val="00364F6C"/>
    <w:rsid w:val="00364F80"/>
    <w:rsid w:val="00364F9D"/>
    <w:rsid w:val="0036632F"/>
    <w:rsid w:val="003673F1"/>
    <w:rsid w:val="003734D7"/>
    <w:rsid w:val="00374F4D"/>
    <w:rsid w:val="00374FA2"/>
    <w:rsid w:val="00377393"/>
    <w:rsid w:val="00377B8A"/>
    <w:rsid w:val="00381ECB"/>
    <w:rsid w:val="00384727"/>
    <w:rsid w:val="00386433"/>
    <w:rsid w:val="003879D7"/>
    <w:rsid w:val="00390F34"/>
    <w:rsid w:val="00394D74"/>
    <w:rsid w:val="00395E12"/>
    <w:rsid w:val="00397160"/>
    <w:rsid w:val="00397964"/>
    <w:rsid w:val="00397F3D"/>
    <w:rsid w:val="003A0E1A"/>
    <w:rsid w:val="003A1ED5"/>
    <w:rsid w:val="003A25A9"/>
    <w:rsid w:val="003A2862"/>
    <w:rsid w:val="003A31CA"/>
    <w:rsid w:val="003A3E9C"/>
    <w:rsid w:val="003A3F87"/>
    <w:rsid w:val="003A4B7E"/>
    <w:rsid w:val="003A4F90"/>
    <w:rsid w:val="003A5228"/>
    <w:rsid w:val="003A5817"/>
    <w:rsid w:val="003A6596"/>
    <w:rsid w:val="003A6AD1"/>
    <w:rsid w:val="003A792D"/>
    <w:rsid w:val="003A7FD9"/>
    <w:rsid w:val="003B0A8E"/>
    <w:rsid w:val="003B1458"/>
    <w:rsid w:val="003B5212"/>
    <w:rsid w:val="003B6F00"/>
    <w:rsid w:val="003B7083"/>
    <w:rsid w:val="003B7A1D"/>
    <w:rsid w:val="003C2221"/>
    <w:rsid w:val="003C2A04"/>
    <w:rsid w:val="003C3509"/>
    <w:rsid w:val="003C3FE6"/>
    <w:rsid w:val="003C4AEF"/>
    <w:rsid w:val="003C6E56"/>
    <w:rsid w:val="003C6E92"/>
    <w:rsid w:val="003D0639"/>
    <w:rsid w:val="003D074A"/>
    <w:rsid w:val="003D2322"/>
    <w:rsid w:val="003D3422"/>
    <w:rsid w:val="003D3B14"/>
    <w:rsid w:val="003D4559"/>
    <w:rsid w:val="003E23D5"/>
    <w:rsid w:val="003E474D"/>
    <w:rsid w:val="003E47C4"/>
    <w:rsid w:val="003E5514"/>
    <w:rsid w:val="003E57B5"/>
    <w:rsid w:val="003E5851"/>
    <w:rsid w:val="003E59AC"/>
    <w:rsid w:val="003E7E8A"/>
    <w:rsid w:val="003F1926"/>
    <w:rsid w:val="003F1BB4"/>
    <w:rsid w:val="003F5647"/>
    <w:rsid w:val="003F5846"/>
    <w:rsid w:val="003F691E"/>
    <w:rsid w:val="003F6B25"/>
    <w:rsid w:val="004002F0"/>
    <w:rsid w:val="0040030C"/>
    <w:rsid w:val="00401047"/>
    <w:rsid w:val="004015B7"/>
    <w:rsid w:val="0040534B"/>
    <w:rsid w:val="00405766"/>
    <w:rsid w:val="004064F7"/>
    <w:rsid w:val="004079E5"/>
    <w:rsid w:val="004100AD"/>
    <w:rsid w:val="00410A91"/>
    <w:rsid w:val="004110FF"/>
    <w:rsid w:val="004122C4"/>
    <w:rsid w:val="004124F1"/>
    <w:rsid w:val="00412627"/>
    <w:rsid w:val="00412922"/>
    <w:rsid w:val="004139B6"/>
    <w:rsid w:val="00413BD9"/>
    <w:rsid w:val="0041472E"/>
    <w:rsid w:val="00414C64"/>
    <w:rsid w:val="00414FE4"/>
    <w:rsid w:val="004158A1"/>
    <w:rsid w:val="004161E3"/>
    <w:rsid w:val="0041766C"/>
    <w:rsid w:val="00420DDC"/>
    <w:rsid w:val="00421A86"/>
    <w:rsid w:val="00422624"/>
    <w:rsid w:val="004240AE"/>
    <w:rsid w:val="00424B00"/>
    <w:rsid w:val="00425180"/>
    <w:rsid w:val="004257A1"/>
    <w:rsid w:val="004261CA"/>
    <w:rsid w:val="004268B1"/>
    <w:rsid w:val="00427A85"/>
    <w:rsid w:val="00430954"/>
    <w:rsid w:val="00430B2F"/>
    <w:rsid w:val="00435341"/>
    <w:rsid w:val="0043576F"/>
    <w:rsid w:val="00435DBD"/>
    <w:rsid w:val="00435F9D"/>
    <w:rsid w:val="00442AF3"/>
    <w:rsid w:val="00443BD1"/>
    <w:rsid w:val="00444C9C"/>
    <w:rsid w:val="00444FB7"/>
    <w:rsid w:val="004450AA"/>
    <w:rsid w:val="004455F2"/>
    <w:rsid w:val="0044688C"/>
    <w:rsid w:val="00446D93"/>
    <w:rsid w:val="004470CC"/>
    <w:rsid w:val="00447525"/>
    <w:rsid w:val="0044797E"/>
    <w:rsid w:val="004503CC"/>
    <w:rsid w:val="0045063D"/>
    <w:rsid w:val="00450930"/>
    <w:rsid w:val="00451122"/>
    <w:rsid w:val="0045196F"/>
    <w:rsid w:val="004530E0"/>
    <w:rsid w:val="004558A2"/>
    <w:rsid w:val="00460A5E"/>
    <w:rsid w:val="004613A1"/>
    <w:rsid w:val="00461A42"/>
    <w:rsid w:val="00461B39"/>
    <w:rsid w:val="00462181"/>
    <w:rsid w:val="00462243"/>
    <w:rsid w:val="004630FA"/>
    <w:rsid w:val="004639BD"/>
    <w:rsid w:val="0046485D"/>
    <w:rsid w:val="0046494C"/>
    <w:rsid w:val="00464E05"/>
    <w:rsid w:val="004657D2"/>
    <w:rsid w:val="0046649E"/>
    <w:rsid w:val="0046787D"/>
    <w:rsid w:val="00467DA8"/>
    <w:rsid w:val="004706B3"/>
    <w:rsid w:val="004713AC"/>
    <w:rsid w:val="0047275C"/>
    <w:rsid w:val="004739FA"/>
    <w:rsid w:val="00473F8E"/>
    <w:rsid w:val="00474225"/>
    <w:rsid w:val="00475025"/>
    <w:rsid w:val="00475363"/>
    <w:rsid w:val="00476A99"/>
    <w:rsid w:val="004771BB"/>
    <w:rsid w:val="0048080E"/>
    <w:rsid w:val="00480B14"/>
    <w:rsid w:val="00480B1F"/>
    <w:rsid w:val="00482447"/>
    <w:rsid w:val="004825D9"/>
    <w:rsid w:val="00483340"/>
    <w:rsid w:val="00483E94"/>
    <w:rsid w:val="004845B0"/>
    <w:rsid w:val="00486E4D"/>
    <w:rsid w:val="00490847"/>
    <w:rsid w:val="004913D4"/>
    <w:rsid w:val="00491ED8"/>
    <w:rsid w:val="004933CB"/>
    <w:rsid w:val="004948FB"/>
    <w:rsid w:val="00494DF5"/>
    <w:rsid w:val="00495324"/>
    <w:rsid w:val="00496AE9"/>
    <w:rsid w:val="004A0919"/>
    <w:rsid w:val="004A1406"/>
    <w:rsid w:val="004A1609"/>
    <w:rsid w:val="004A1F14"/>
    <w:rsid w:val="004A2A7E"/>
    <w:rsid w:val="004A3520"/>
    <w:rsid w:val="004A5A44"/>
    <w:rsid w:val="004A6869"/>
    <w:rsid w:val="004A798D"/>
    <w:rsid w:val="004B227F"/>
    <w:rsid w:val="004B5036"/>
    <w:rsid w:val="004B52BC"/>
    <w:rsid w:val="004B5DDA"/>
    <w:rsid w:val="004B5FC3"/>
    <w:rsid w:val="004B6867"/>
    <w:rsid w:val="004B68EC"/>
    <w:rsid w:val="004B6AC9"/>
    <w:rsid w:val="004B76EC"/>
    <w:rsid w:val="004C074B"/>
    <w:rsid w:val="004C10FB"/>
    <w:rsid w:val="004C1919"/>
    <w:rsid w:val="004C1FB8"/>
    <w:rsid w:val="004C2C56"/>
    <w:rsid w:val="004C3684"/>
    <w:rsid w:val="004C373E"/>
    <w:rsid w:val="004C59B6"/>
    <w:rsid w:val="004C6224"/>
    <w:rsid w:val="004C645F"/>
    <w:rsid w:val="004C6461"/>
    <w:rsid w:val="004C7EDE"/>
    <w:rsid w:val="004D000A"/>
    <w:rsid w:val="004D0473"/>
    <w:rsid w:val="004D0736"/>
    <w:rsid w:val="004D0739"/>
    <w:rsid w:val="004D72D0"/>
    <w:rsid w:val="004E0EF9"/>
    <w:rsid w:val="004E0FE9"/>
    <w:rsid w:val="004E20E8"/>
    <w:rsid w:val="004E38AB"/>
    <w:rsid w:val="004E4647"/>
    <w:rsid w:val="004E5561"/>
    <w:rsid w:val="004E64A0"/>
    <w:rsid w:val="004E6DED"/>
    <w:rsid w:val="004F3F52"/>
    <w:rsid w:val="004F5B9D"/>
    <w:rsid w:val="004F7B71"/>
    <w:rsid w:val="005000B6"/>
    <w:rsid w:val="00500BDC"/>
    <w:rsid w:val="00501534"/>
    <w:rsid w:val="005025D1"/>
    <w:rsid w:val="0050345C"/>
    <w:rsid w:val="005040FF"/>
    <w:rsid w:val="00504AE4"/>
    <w:rsid w:val="00505AF8"/>
    <w:rsid w:val="00506186"/>
    <w:rsid w:val="00506328"/>
    <w:rsid w:val="005069C6"/>
    <w:rsid w:val="00507A1A"/>
    <w:rsid w:val="00507C21"/>
    <w:rsid w:val="0051037C"/>
    <w:rsid w:val="005114D4"/>
    <w:rsid w:val="005119F4"/>
    <w:rsid w:val="00512E85"/>
    <w:rsid w:val="00514466"/>
    <w:rsid w:val="00515C15"/>
    <w:rsid w:val="00516FE8"/>
    <w:rsid w:val="005177A3"/>
    <w:rsid w:val="005204FF"/>
    <w:rsid w:val="00520F98"/>
    <w:rsid w:val="00521077"/>
    <w:rsid w:val="00524222"/>
    <w:rsid w:val="0052648F"/>
    <w:rsid w:val="00526E59"/>
    <w:rsid w:val="00526E8B"/>
    <w:rsid w:val="005273D0"/>
    <w:rsid w:val="00527879"/>
    <w:rsid w:val="00530D33"/>
    <w:rsid w:val="0053150B"/>
    <w:rsid w:val="00531E89"/>
    <w:rsid w:val="00532E0F"/>
    <w:rsid w:val="00533081"/>
    <w:rsid w:val="005337BF"/>
    <w:rsid w:val="00533959"/>
    <w:rsid w:val="00533C93"/>
    <w:rsid w:val="00534C6A"/>
    <w:rsid w:val="00535808"/>
    <w:rsid w:val="00535ACE"/>
    <w:rsid w:val="00536CB0"/>
    <w:rsid w:val="00537431"/>
    <w:rsid w:val="00537450"/>
    <w:rsid w:val="0054030B"/>
    <w:rsid w:val="0054078F"/>
    <w:rsid w:val="0054123E"/>
    <w:rsid w:val="005422A9"/>
    <w:rsid w:val="00542822"/>
    <w:rsid w:val="00542B21"/>
    <w:rsid w:val="00546E02"/>
    <w:rsid w:val="005502B6"/>
    <w:rsid w:val="00550A38"/>
    <w:rsid w:val="00551B4E"/>
    <w:rsid w:val="00552482"/>
    <w:rsid w:val="00552D90"/>
    <w:rsid w:val="00553156"/>
    <w:rsid w:val="00554373"/>
    <w:rsid w:val="0055494D"/>
    <w:rsid w:val="0055793B"/>
    <w:rsid w:val="00560967"/>
    <w:rsid w:val="00560FF3"/>
    <w:rsid w:val="00561AA8"/>
    <w:rsid w:val="00562D05"/>
    <w:rsid w:val="00562EC7"/>
    <w:rsid w:val="00563852"/>
    <w:rsid w:val="005656FA"/>
    <w:rsid w:val="00565E8F"/>
    <w:rsid w:val="00566539"/>
    <w:rsid w:val="0056681F"/>
    <w:rsid w:val="005669E4"/>
    <w:rsid w:val="0056765F"/>
    <w:rsid w:val="00570EC8"/>
    <w:rsid w:val="00572463"/>
    <w:rsid w:val="0057316D"/>
    <w:rsid w:val="00574A21"/>
    <w:rsid w:val="00575925"/>
    <w:rsid w:val="00575970"/>
    <w:rsid w:val="00575F10"/>
    <w:rsid w:val="0057613D"/>
    <w:rsid w:val="00577228"/>
    <w:rsid w:val="005773F8"/>
    <w:rsid w:val="00577523"/>
    <w:rsid w:val="00577BC4"/>
    <w:rsid w:val="005807A4"/>
    <w:rsid w:val="00580D7A"/>
    <w:rsid w:val="0058103E"/>
    <w:rsid w:val="00582B4B"/>
    <w:rsid w:val="00582C0D"/>
    <w:rsid w:val="00582CB0"/>
    <w:rsid w:val="00583291"/>
    <w:rsid w:val="0058391C"/>
    <w:rsid w:val="00587214"/>
    <w:rsid w:val="00587531"/>
    <w:rsid w:val="00587C54"/>
    <w:rsid w:val="005904E9"/>
    <w:rsid w:val="00590FBD"/>
    <w:rsid w:val="005920E7"/>
    <w:rsid w:val="0059323A"/>
    <w:rsid w:val="005933C9"/>
    <w:rsid w:val="0059518C"/>
    <w:rsid w:val="00596287"/>
    <w:rsid w:val="0059682D"/>
    <w:rsid w:val="00596F5F"/>
    <w:rsid w:val="00597608"/>
    <w:rsid w:val="005A0FB8"/>
    <w:rsid w:val="005A3473"/>
    <w:rsid w:val="005A544A"/>
    <w:rsid w:val="005A69D1"/>
    <w:rsid w:val="005A6A14"/>
    <w:rsid w:val="005A6E0F"/>
    <w:rsid w:val="005A73C4"/>
    <w:rsid w:val="005A7B25"/>
    <w:rsid w:val="005B0DF0"/>
    <w:rsid w:val="005B1C28"/>
    <w:rsid w:val="005B2752"/>
    <w:rsid w:val="005B2E83"/>
    <w:rsid w:val="005B4EAF"/>
    <w:rsid w:val="005B535C"/>
    <w:rsid w:val="005B748E"/>
    <w:rsid w:val="005C0CB5"/>
    <w:rsid w:val="005C24A7"/>
    <w:rsid w:val="005C441D"/>
    <w:rsid w:val="005C4705"/>
    <w:rsid w:val="005C4765"/>
    <w:rsid w:val="005C4CA0"/>
    <w:rsid w:val="005C5AF4"/>
    <w:rsid w:val="005C5EF6"/>
    <w:rsid w:val="005C6E01"/>
    <w:rsid w:val="005D07D0"/>
    <w:rsid w:val="005D0C15"/>
    <w:rsid w:val="005D0CF4"/>
    <w:rsid w:val="005D0D78"/>
    <w:rsid w:val="005D0F17"/>
    <w:rsid w:val="005D12A4"/>
    <w:rsid w:val="005D1F09"/>
    <w:rsid w:val="005D2217"/>
    <w:rsid w:val="005D34A0"/>
    <w:rsid w:val="005D3622"/>
    <w:rsid w:val="005D4F6D"/>
    <w:rsid w:val="005D77F5"/>
    <w:rsid w:val="005E00E6"/>
    <w:rsid w:val="005E1E2E"/>
    <w:rsid w:val="005E2ABD"/>
    <w:rsid w:val="005E4522"/>
    <w:rsid w:val="005E73D0"/>
    <w:rsid w:val="005E7FED"/>
    <w:rsid w:val="005F09B4"/>
    <w:rsid w:val="005F11AC"/>
    <w:rsid w:val="005F11C9"/>
    <w:rsid w:val="005F1A32"/>
    <w:rsid w:val="005F1E93"/>
    <w:rsid w:val="005F2007"/>
    <w:rsid w:val="005F216D"/>
    <w:rsid w:val="005F2AF8"/>
    <w:rsid w:val="005F2BFC"/>
    <w:rsid w:val="005F3CD9"/>
    <w:rsid w:val="005F3E1C"/>
    <w:rsid w:val="005F3FFE"/>
    <w:rsid w:val="005F5AE8"/>
    <w:rsid w:val="005F5BD1"/>
    <w:rsid w:val="005F5D0D"/>
    <w:rsid w:val="005F6111"/>
    <w:rsid w:val="005F622A"/>
    <w:rsid w:val="005F6CA8"/>
    <w:rsid w:val="005F6DD3"/>
    <w:rsid w:val="005F7982"/>
    <w:rsid w:val="0060038E"/>
    <w:rsid w:val="00602CC5"/>
    <w:rsid w:val="00603FE9"/>
    <w:rsid w:val="0060488B"/>
    <w:rsid w:val="006056D8"/>
    <w:rsid w:val="006076ED"/>
    <w:rsid w:val="0061010F"/>
    <w:rsid w:val="00611896"/>
    <w:rsid w:val="00612D93"/>
    <w:rsid w:val="00612F15"/>
    <w:rsid w:val="00613F48"/>
    <w:rsid w:val="00616557"/>
    <w:rsid w:val="00616F24"/>
    <w:rsid w:val="0061794C"/>
    <w:rsid w:val="00620EE9"/>
    <w:rsid w:val="00621412"/>
    <w:rsid w:val="00621812"/>
    <w:rsid w:val="00622EA3"/>
    <w:rsid w:val="0062327B"/>
    <w:rsid w:val="00624AC7"/>
    <w:rsid w:val="00624D42"/>
    <w:rsid w:val="006266C7"/>
    <w:rsid w:val="00627851"/>
    <w:rsid w:val="00627F4C"/>
    <w:rsid w:val="00630126"/>
    <w:rsid w:val="00630EDA"/>
    <w:rsid w:val="0063177F"/>
    <w:rsid w:val="00631B24"/>
    <w:rsid w:val="00631EDB"/>
    <w:rsid w:val="00631EFB"/>
    <w:rsid w:val="0063242C"/>
    <w:rsid w:val="006326BD"/>
    <w:rsid w:val="00632B0B"/>
    <w:rsid w:val="00632B8F"/>
    <w:rsid w:val="00633B4F"/>
    <w:rsid w:val="0063488C"/>
    <w:rsid w:val="006355A9"/>
    <w:rsid w:val="00635EB2"/>
    <w:rsid w:val="006369E8"/>
    <w:rsid w:val="00637B4C"/>
    <w:rsid w:val="00637E7D"/>
    <w:rsid w:val="006406B0"/>
    <w:rsid w:val="00640B93"/>
    <w:rsid w:val="00640DF9"/>
    <w:rsid w:val="00642132"/>
    <w:rsid w:val="00642A5A"/>
    <w:rsid w:val="00642C3C"/>
    <w:rsid w:val="0064366A"/>
    <w:rsid w:val="00644AEC"/>
    <w:rsid w:val="00645B72"/>
    <w:rsid w:val="00647A22"/>
    <w:rsid w:val="00647AA5"/>
    <w:rsid w:val="00647B66"/>
    <w:rsid w:val="006516F2"/>
    <w:rsid w:val="00652188"/>
    <w:rsid w:val="0065265E"/>
    <w:rsid w:val="00652937"/>
    <w:rsid w:val="006532A4"/>
    <w:rsid w:val="00654AFF"/>
    <w:rsid w:val="00655B3D"/>
    <w:rsid w:val="00657621"/>
    <w:rsid w:val="0065767F"/>
    <w:rsid w:val="00657B0F"/>
    <w:rsid w:val="00657DEA"/>
    <w:rsid w:val="00661FF2"/>
    <w:rsid w:val="00662A87"/>
    <w:rsid w:val="00662C04"/>
    <w:rsid w:val="0066486A"/>
    <w:rsid w:val="00667959"/>
    <w:rsid w:val="00667DC1"/>
    <w:rsid w:val="0067116E"/>
    <w:rsid w:val="00671B2E"/>
    <w:rsid w:val="00671ED2"/>
    <w:rsid w:val="00672AE7"/>
    <w:rsid w:val="00672C48"/>
    <w:rsid w:val="00673815"/>
    <w:rsid w:val="00674C12"/>
    <w:rsid w:val="006755FA"/>
    <w:rsid w:val="00675F66"/>
    <w:rsid w:val="00675FDD"/>
    <w:rsid w:val="006778D4"/>
    <w:rsid w:val="00677DFB"/>
    <w:rsid w:val="0068048E"/>
    <w:rsid w:val="0068286E"/>
    <w:rsid w:val="00682C5B"/>
    <w:rsid w:val="00682EB3"/>
    <w:rsid w:val="00683F8D"/>
    <w:rsid w:val="00683FF4"/>
    <w:rsid w:val="00684F10"/>
    <w:rsid w:val="00690614"/>
    <w:rsid w:val="00690648"/>
    <w:rsid w:val="00691C72"/>
    <w:rsid w:val="00693ED7"/>
    <w:rsid w:val="006948F1"/>
    <w:rsid w:val="00695B07"/>
    <w:rsid w:val="006962FB"/>
    <w:rsid w:val="00696EBA"/>
    <w:rsid w:val="00696FBC"/>
    <w:rsid w:val="00697666"/>
    <w:rsid w:val="00697FD2"/>
    <w:rsid w:val="006A0783"/>
    <w:rsid w:val="006A1224"/>
    <w:rsid w:val="006A21DE"/>
    <w:rsid w:val="006A3022"/>
    <w:rsid w:val="006A35B1"/>
    <w:rsid w:val="006A6114"/>
    <w:rsid w:val="006A6479"/>
    <w:rsid w:val="006A7017"/>
    <w:rsid w:val="006B0674"/>
    <w:rsid w:val="006B18E6"/>
    <w:rsid w:val="006B1C8C"/>
    <w:rsid w:val="006B1CA7"/>
    <w:rsid w:val="006B2B28"/>
    <w:rsid w:val="006B32A0"/>
    <w:rsid w:val="006B459B"/>
    <w:rsid w:val="006B4602"/>
    <w:rsid w:val="006B4954"/>
    <w:rsid w:val="006B4E28"/>
    <w:rsid w:val="006B55BF"/>
    <w:rsid w:val="006C0205"/>
    <w:rsid w:val="006C06B4"/>
    <w:rsid w:val="006C0D22"/>
    <w:rsid w:val="006C13F0"/>
    <w:rsid w:val="006C1FD9"/>
    <w:rsid w:val="006C28B0"/>
    <w:rsid w:val="006C412A"/>
    <w:rsid w:val="006C61A0"/>
    <w:rsid w:val="006C6B3E"/>
    <w:rsid w:val="006C7869"/>
    <w:rsid w:val="006C7DB5"/>
    <w:rsid w:val="006D1669"/>
    <w:rsid w:val="006D1D12"/>
    <w:rsid w:val="006D3363"/>
    <w:rsid w:val="006D427B"/>
    <w:rsid w:val="006D4495"/>
    <w:rsid w:val="006D4DCA"/>
    <w:rsid w:val="006D5464"/>
    <w:rsid w:val="006D5B6B"/>
    <w:rsid w:val="006D60A7"/>
    <w:rsid w:val="006D675B"/>
    <w:rsid w:val="006D6C5A"/>
    <w:rsid w:val="006D780C"/>
    <w:rsid w:val="006E09BF"/>
    <w:rsid w:val="006E16EC"/>
    <w:rsid w:val="006E4D51"/>
    <w:rsid w:val="006E4EC4"/>
    <w:rsid w:val="006E5433"/>
    <w:rsid w:val="006E6449"/>
    <w:rsid w:val="006E67D4"/>
    <w:rsid w:val="006E766D"/>
    <w:rsid w:val="006E7806"/>
    <w:rsid w:val="006E7849"/>
    <w:rsid w:val="006E7D50"/>
    <w:rsid w:val="006F2530"/>
    <w:rsid w:val="006F2C3E"/>
    <w:rsid w:val="006F2EC0"/>
    <w:rsid w:val="006F35CD"/>
    <w:rsid w:val="006F5077"/>
    <w:rsid w:val="006F5C66"/>
    <w:rsid w:val="006F5FBD"/>
    <w:rsid w:val="006F630B"/>
    <w:rsid w:val="006F752C"/>
    <w:rsid w:val="006F75AD"/>
    <w:rsid w:val="007008A9"/>
    <w:rsid w:val="007008C8"/>
    <w:rsid w:val="0070136B"/>
    <w:rsid w:val="007031BD"/>
    <w:rsid w:val="007033F5"/>
    <w:rsid w:val="00703E11"/>
    <w:rsid w:val="00703EDA"/>
    <w:rsid w:val="00704C70"/>
    <w:rsid w:val="00705256"/>
    <w:rsid w:val="007055AA"/>
    <w:rsid w:val="00705A9F"/>
    <w:rsid w:val="00706904"/>
    <w:rsid w:val="00707EB4"/>
    <w:rsid w:val="007109D0"/>
    <w:rsid w:val="00711727"/>
    <w:rsid w:val="0071794F"/>
    <w:rsid w:val="00720321"/>
    <w:rsid w:val="00721C08"/>
    <w:rsid w:val="00726E7F"/>
    <w:rsid w:val="007275F5"/>
    <w:rsid w:val="00730D30"/>
    <w:rsid w:val="00731DC0"/>
    <w:rsid w:val="007321E3"/>
    <w:rsid w:val="007340F4"/>
    <w:rsid w:val="00734E4F"/>
    <w:rsid w:val="00734F6F"/>
    <w:rsid w:val="007350D5"/>
    <w:rsid w:val="00736AD0"/>
    <w:rsid w:val="00737CFE"/>
    <w:rsid w:val="00740514"/>
    <w:rsid w:val="00740D03"/>
    <w:rsid w:val="0074110E"/>
    <w:rsid w:val="00741146"/>
    <w:rsid w:val="0074129D"/>
    <w:rsid w:val="00741948"/>
    <w:rsid w:val="00741AED"/>
    <w:rsid w:val="0074299A"/>
    <w:rsid w:val="00743EE9"/>
    <w:rsid w:val="0074401D"/>
    <w:rsid w:val="0074462F"/>
    <w:rsid w:val="007458EB"/>
    <w:rsid w:val="00745ADB"/>
    <w:rsid w:val="00746B6C"/>
    <w:rsid w:val="00747D98"/>
    <w:rsid w:val="007504E6"/>
    <w:rsid w:val="0075136B"/>
    <w:rsid w:val="00751BAC"/>
    <w:rsid w:val="007539B6"/>
    <w:rsid w:val="00757DA1"/>
    <w:rsid w:val="0076052E"/>
    <w:rsid w:val="007635AC"/>
    <w:rsid w:val="00764EC4"/>
    <w:rsid w:val="007656B2"/>
    <w:rsid w:val="0077086A"/>
    <w:rsid w:val="00770BE4"/>
    <w:rsid w:val="00772C77"/>
    <w:rsid w:val="00773220"/>
    <w:rsid w:val="00773975"/>
    <w:rsid w:val="007741A5"/>
    <w:rsid w:val="00774275"/>
    <w:rsid w:val="00774A69"/>
    <w:rsid w:val="00774E0A"/>
    <w:rsid w:val="00774E56"/>
    <w:rsid w:val="00780659"/>
    <w:rsid w:val="007823C7"/>
    <w:rsid w:val="00783911"/>
    <w:rsid w:val="00784105"/>
    <w:rsid w:val="00784A74"/>
    <w:rsid w:val="0078500F"/>
    <w:rsid w:val="007851F7"/>
    <w:rsid w:val="00785B95"/>
    <w:rsid w:val="0078605E"/>
    <w:rsid w:val="00786FFE"/>
    <w:rsid w:val="00787C1E"/>
    <w:rsid w:val="00787C49"/>
    <w:rsid w:val="007902D6"/>
    <w:rsid w:val="0079034C"/>
    <w:rsid w:val="00790E2C"/>
    <w:rsid w:val="00791BF7"/>
    <w:rsid w:val="007948D5"/>
    <w:rsid w:val="007950BA"/>
    <w:rsid w:val="0079633D"/>
    <w:rsid w:val="00797116"/>
    <w:rsid w:val="00797EAE"/>
    <w:rsid w:val="007A1A4D"/>
    <w:rsid w:val="007A28A1"/>
    <w:rsid w:val="007A3553"/>
    <w:rsid w:val="007A45FA"/>
    <w:rsid w:val="007A527F"/>
    <w:rsid w:val="007A593F"/>
    <w:rsid w:val="007A5FD1"/>
    <w:rsid w:val="007A71FE"/>
    <w:rsid w:val="007B00D4"/>
    <w:rsid w:val="007B10F2"/>
    <w:rsid w:val="007B2776"/>
    <w:rsid w:val="007B319C"/>
    <w:rsid w:val="007B3227"/>
    <w:rsid w:val="007B339E"/>
    <w:rsid w:val="007B36E2"/>
    <w:rsid w:val="007B37E2"/>
    <w:rsid w:val="007B594D"/>
    <w:rsid w:val="007B5D1F"/>
    <w:rsid w:val="007B610D"/>
    <w:rsid w:val="007B7C15"/>
    <w:rsid w:val="007B7EA0"/>
    <w:rsid w:val="007C07D7"/>
    <w:rsid w:val="007C0F36"/>
    <w:rsid w:val="007C4405"/>
    <w:rsid w:val="007C50C7"/>
    <w:rsid w:val="007C6083"/>
    <w:rsid w:val="007C64CB"/>
    <w:rsid w:val="007C759D"/>
    <w:rsid w:val="007D049B"/>
    <w:rsid w:val="007D196F"/>
    <w:rsid w:val="007D3FA6"/>
    <w:rsid w:val="007D4B71"/>
    <w:rsid w:val="007D53BF"/>
    <w:rsid w:val="007D5818"/>
    <w:rsid w:val="007D591B"/>
    <w:rsid w:val="007E01AC"/>
    <w:rsid w:val="007E231E"/>
    <w:rsid w:val="007E365D"/>
    <w:rsid w:val="007E36E8"/>
    <w:rsid w:val="007E40F3"/>
    <w:rsid w:val="007E5358"/>
    <w:rsid w:val="007E5D9A"/>
    <w:rsid w:val="007E6529"/>
    <w:rsid w:val="007F0095"/>
    <w:rsid w:val="007F0572"/>
    <w:rsid w:val="007F1A08"/>
    <w:rsid w:val="007F1D41"/>
    <w:rsid w:val="007F2222"/>
    <w:rsid w:val="007F24D1"/>
    <w:rsid w:val="007F42D2"/>
    <w:rsid w:val="007F5883"/>
    <w:rsid w:val="007F74EB"/>
    <w:rsid w:val="007F7778"/>
    <w:rsid w:val="00800D5A"/>
    <w:rsid w:val="008011AD"/>
    <w:rsid w:val="00801210"/>
    <w:rsid w:val="00801AC8"/>
    <w:rsid w:val="008056B1"/>
    <w:rsid w:val="00807AFD"/>
    <w:rsid w:val="008105A1"/>
    <w:rsid w:val="00810C80"/>
    <w:rsid w:val="0081174A"/>
    <w:rsid w:val="00812E96"/>
    <w:rsid w:val="00812F66"/>
    <w:rsid w:val="00813298"/>
    <w:rsid w:val="0081380E"/>
    <w:rsid w:val="0081386B"/>
    <w:rsid w:val="00814F24"/>
    <w:rsid w:val="008152C2"/>
    <w:rsid w:val="00820654"/>
    <w:rsid w:val="00821D75"/>
    <w:rsid w:val="008220AF"/>
    <w:rsid w:val="00822204"/>
    <w:rsid w:val="00824595"/>
    <w:rsid w:val="00824D12"/>
    <w:rsid w:val="00825C36"/>
    <w:rsid w:val="008263B6"/>
    <w:rsid w:val="00826CA6"/>
    <w:rsid w:val="00826DB2"/>
    <w:rsid w:val="008274E5"/>
    <w:rsid w:val="00827BEF"/>
    <w:rsid w:val="00827E30"/>
    <w:rsid w:val="00827E78"/>
    <w:rsid w:val="00831748"/>
    <w:rsid w:val="00832767"/>
    <w:rsid w:val="00832F0D"/>
    <w:rsid w:val="00832F9B"/>
    <w:rsid w:val="00833047"/>
    <w:rsid w:val="00834C77"/>
    <w:rsid w:val="00835C58"/>
    <w:rsid w:val="00836202"/>
    <w:rsid w:val="00836D15"/>
    <w:rsid w:val="008439E2"/>
    <w:rsid w:val="00843B02"/>
    <w:rsid w:val="00844660"/>
    <w:rsid w:val="00844C8A"/>
    <w:rsid w:val="008453E4"/>
    <w:rsid w:val="00845FD4"/>
    <w:rsid w:val="008461D8"/>
    <w:rsid w:val="008470E4"/>
    <w:rsid w:val="008509E6"/>
    <w:rsid w:val="00850AB2"/>
    <w:rsid w:val="00851AE5"/>
    <w:rsid w:val="00851CCA"/>
    <w:rsid w:val="008532C9"/>
    <w:rsid w:val="00856842"/>
    <w:rsid w:val="00857091"/>
    <w:rsid w:val="0086045F"/>
    <w:rsid w:val="00860AFE"/>
    <w:rsid w:val="00860E23"/>
    <w:rsid w:val="00861520"/>
    <w:rsid w:val="00861601"/>
    <w:rsid w:val="00861A0D"/>
    <w:rsid w:val="008623F0"/>
    <w:rsid w:val="0086253B"/>
    <w:rsid w:val="00862706"/>
    <w:rsid w:val="0086498A"/>
    <w:rsid w:val="00865E7E"/>
    <w:rsid w:val="0086770E"/>
    <w:rsid w:val="00867EE7"/>
    <w:rsid w:val="00870B97"/>
    <w:rsid w:val="00872126"/>
    <w:rsid w:val="00873D5F"/>
    <w:rsid w:val="0087453B"/>
    <w:rsid w:val="00874BDD"/>
    <w:rsid w:val="00875D0A"/>
    <w:rsid w:val="008760D3"/>
    <w:rsid w:val="00876AC3"/>
    <w:rsid w:val="00877914"/>
    <w:rsid w:val="0088023F"/>
    <w:rsid w:val="00885A02"/>
    <w:rsid w:val="00885D59"/>
    <w:rsid w:val="00890056"/>
    <w:rsid w:val="0089029F"/>
    <w:rsid w:val="008926F3"/>
    <w:rsid w:val="00892A4C"/>
    <w:rsid w:val="00893879"/>
    <w:rsid w:val="008944E4"/>
    <w:rsid w:val="00896608"/>
    <w:rsid w:val="0089784F"/>
    <w:rsid w:val="0089788F"/>
    <w:rsid w:val="00897DCD"/>
    <w:rsid w:val="008A03DA"/>
    <w:rsid w:val="008A0B70"/>
    <w:rsid w:val="008A296E"/>
    <w:rsid w:val="008A34D7"/>
    <w:rsid w:val="008A3887"/>
    <w:rsid w:val="008A4196"/>
    <w:rsid w:val="008A4E90"/>
    <w:rsid w:val="008A5089"/>
    <w:rsid w:val="008A647D"/>
    <w:rsid w:val="008B0A00"/>
    <w:rsid w:val="008B1821"/>
    <w:rsid w:val="008B1F9D"/>
    <w:rsid w:val="008B37FD"/>
    <w:rsid w:val="008B4537"/>
    <w:rsid w:val="008B5231"/>
    <w:rsid w:val="008C109C"/>
    <w:rsid w:val="008C34EA"/>
    <w:rsid w:val="008C5710"/>
    <w:rsid w:val="008C5769"/>
    <w:rsid w:val="008C60D0"/>
    <w:rsid w:val="008D2342"/>
    <w:rsid w:val="008D5228"/>
    <w:rsid w:val="008D5648"/>
    <w:rsid w:val="008D5AA3"/>
    <w:rsid w:val="008D7129"/>
    <w:rsid w:val="008D730B"/>
    <w:rsid w:val="008D7864"/>
    <w:rsid w:val="008D7E64"/>
    <w:rsid w:val="008E0D2C"/>
    <w:rsid w:val="008E1069"/>
    <w:rsid w:val="008E1FCD"/>
    <w:rsid w:val="008E31E2"/>
    <w:rsid w:val="008E3731"/>
    <w:rsid w:val="008E3913"/>
    <w:rsid w:val="008E4DC5"/>
    <w:rsid w:val="008E50FC"/>
    <w:rsid w:val="008E56A0"/>
    <w:rsid w:val="008E6C06"/>
    <w:rsid w:val="008F0079"/>
    <w:rsid w:val="008F0662"/>
    <w:rsid w:val="008F0A35"/>
    <w:rsid w:val="008F43AB"/>
    <w:rsid w:val="008F4518"/>
    <w:rsid w:val="008F7207"/>
    <w:rsid w:val="0090028F"/>
    <w:rsid w:val="009002BA"/>
    <w:rsid w:val="00900A7F"/>
    <w:rsid w:val="009018BD"/>
    <w:rsid w:val="009022F5"/>
    <w:rsid w:val="00902559"/>
    <w:rsid w:val="00904224"/>
    <w:rsid w:val="00904539"/>
    <w:rsid w:val="00904E13"/>
    <w:rsid w:val="00904EB6"/>
    <w:rsid w:val="009054B3"/>
    <w:rsid w:val="00906398"/>
    <w:rsid w:val="009071AE"/>
    <w:rsid w:val="009076D6"/>
    <w:rsid w:val="009105D7"/>
    <w:rsid w:val="00910C79"/>
    <w:rsid w:val="0091109D"/>
    <w:rsid w:val="009113A4"/>
    <w:rsid w:val="0091167D"/>
    <w:rsid w:val="00911DFC"/>
    <w:rsid w:val="0091405E"/>
    <w:rsid w:val="009150F5"/>
    <w:rsid w:val="00916DB1"/>
    <w:rsid w:val="00917762"/>
    <w:rsid w:val="009207E9"/>
    <w:rsid w:val="00920C72"/>
    <w:rsid w:val="00923C04"/>
    <w:rsid w:val="00925806"/>
    <w:rsid w:val="0092723A"/>
    <w:rsid w:val="0092779E"/>
    <w:rsid w:val="00930278"/>
    <w:rsid w:val="00930A93"/>
    <w:rsid w:val="00930B0F"/>
    <w:rsid w:val="0093148A"/>
    <w:rsid w:val="009321CA"/>
    <w:rsid w:val="00932E5A"/>
    <w:rsid w:val="00933D9C"/>
    <w:rsid w:val="00934279"/>
    <w:rsid w:val="0093524D"/>
    <w:rsid w:val="00935F05"/>
    <w:rsid w:val="009367A1"/>
    <w:rsid w:val="00941719"/>
    <w:rsid w:val="0094432B"/>
    <w:rsid w:val="009448D3"/>
    <w:rsid w:val="00945958"/>
    <w:rsid w:val="0094693F"/>
    <w:rsid w:val="0095069B"/>
    <w:rsid w:val="009506A0"/>
    <w:rsid w:val="00950820"/>
    <w:rsid w:val="00951B26"/>
    <w:rsid w:val="00955F8C"/>
    <w:rsid w:val="00956957"/>
    <w:rsid w:val="00957D2A"/>
    <w:rsid w:val="00957E86"/>
    <w:rsid w:val="00957F83"/>
    <w:rsid w:val="009601DA"/>
    <w:rsid w:val="0096038B"/>
    <w:rsid w:val="009610F6"/>
    <w:rsid w:val="00962BBB"/>
    <w:rsid w:val="00962DC0"/>
    <w:rsid w:val="00963BDD"/>
    <w:rsid w:val="00964279"/>
    <w:rsid w:val="009659FB"/>
    <w:rsid w:val="00966AFC"/>
    <w:rsid w:val="009675C9"/>
    <w:rsid w:val="0097054D"/>
    <w:rsid w:val="00971EBE"/>
    <w:rsid w:val="00972095"/>
    <w:rsid w:val="00972F8B"/>
    <w:rsid w:val="0097326D"/>
    <w:rsid w:val="00973628"/>
    <w:rsid w:val="00973941"/>
    <w:rsid w:val="009745C1"/>
    <w:rsid w:val="00975786"/>
    <w:rsid w:val="00975A76"/>
    <w:rsid w:val="00976608"/>
    <w:rsid w:val="00977EFF"/>
    <w:rsid w:val="0098042F"/>
    <w:rsid w:val="00980A62"/>
    <w:rsid w:val="009814BD"/>
    <w:rsid w:val="0098171B"/>
    <w:rsid w:val="009825F7"/>
    <w:rsid w:val="0098291F"/>
    <w:rsid w:val="009836D9"/>
    <w:rsid w:val="00983AE6"/>
    <w:rsid w:val="00985696"/>
    <w:rsid w:val="009859AD"/>
    <w:rsid w:val="009863A9"/>
    <w:rsid w:val="00990193"/>
    <w:rsid w:val="00991310"/>
    <w:rsid w:val="009922B0"/>
    <w:rsid w:val="009939A3"/>
    <w:rsid w:val="00995412"/>
    <w:rsid w:val="0099618B"/>
    <w:rsid w:val="009965E4"/>
    <w:rsid w:val="009965FF"/>
    <w:rsid w:val="00996997"/>
    <w:rsid w:val="0099736F"/>
    <w:rsid w:val="00997975"/>
    <w:rsid w:val="00997A55"/>
    <w:rsid w:val="009A1AE7"/>
    <w:rsid w:val="009A218B"/>
    <w:rsid w:val="009A26EB"/>
    <w:rsid w:val="009A2ED4"/>
    <w:rsid w:val="009A2F7A"/>
    <w:rsid w:val="009A3A7C"/>
    <w:rsid w:val="009A4466"/>
    <w:rsid w:val="009A44D2"/>
    <w:rsid w:val="009A487C"/>
    <w:rsid w:val="009A4B87"/>
    <w:rsid w:val="009A4DA9"/>
    <w:rsid w:val="009A5FA0"/>
    <w:rsid w:val="009A7A48"/>
    <w:rsid w:val="009B0084"/>
    <w:rsid w:val="009B1317"/>
    <w:rsid w:val="009B15C6"/>
    <w:rsid w:val="009B1762"/>
    <w:rsid w:val="009B2494"/>
    <w:rsid w:val="009B285B"/>
    <w:rsid w:val="009B2CB6"/>
    <w:rsid w:val="009B2DC9"/>
    <w:rsid w:val="009B4B5B"/>
    <w:rsid w:val="009B5E8F"/>
    <w:rsid w:val="009B5ECD"/>
    <w:rsid w:val="009B6944"/>
    <w:rsid w:val="009C279A"/>
    <w:rsid w:val="009C2807"/>
    <w:rsid w:val="009C4A4A"/>
    <w:rsid w:val="009C4B59"/>
    <w:rsid w:val="009C4F60"/>
    <w:rsid w:val="009C54DB"/>
    <w:rsid w:val="009C696A"/>
    <w:rsid w:val="009C745B"/>
    <w:rsid w:val="009C7A1A"/>
    <w:rsid w:val="009D06D4"/>
    <w:rsid w:val="009D1586"/>
    <w:rsid w:val="009D3523"/>
    <w:rsid w:val="009D38EC"/>
    <w:rsid w:val="009D3E3A"/>
    <w:rsid w:val="009D4648"/>
    <w:rsid w:val="009D5D01"/>
    <w:rsid w:val="009D5EE2"/>
    <w:rsid w:val="009D723F"/>
    <w:rsid w:val="009D7C4D"/>
    <w:rsid w:val="009D7D08"/>
    <w:rsid w:val="009E0930"/>
    <w:rsid w:val="009E3642"/>
    <w:rsid w:val="009E4D5E"/>
    <w:rsid w:val="009E4F3D"/>
    <w:rsid w:val="009E5AE2"/>
    <w:rsid w:val="009F0A92"/>
    <w:rsid w:val="009F0E29"/>
    <w:rsid w:val="009F333D"/>
    <w:rsid w:val="009F451A"/>
    <w:rsid w:val="009F5035"/>
    <w:rsid w:val="009F63E0"/>
    <w:rsid w:val="00A00135"/>
    <w:rsid w:val="00A001AB"/>
    <w:rsid w:val="00A01579"/>
    <w:rsid w:val="00A02B64"/>
    <w:rsid w:val="00A03B6A"/>
    <w:rsid w:val="00A03D90"/>
    <w:rsid w:val="00A064E8"/>
    <w:rsid w:val="00A10B2F"/>
    <w:rsid w:val="00A12E46"/>
    <w:rsid w:val="00A12F2B"/>
    <w:rsid w:val="00A1367B"/>
    <w:rsid w:val="00A1530E"/>
    <w:rsid w:val="00A17F8B"/>
    <w:rsid w:val="00A21968"/>
    <w:rsid w:val="00A225F8"/>
    <w:rsid w:val="00A2279C"/>
    <w:rsid w:val="00A229E5"/>
    <w:rsid w:val="00A23086"/>
    <w:rsid w:val="00A2334B"/>
    <w:rsid w:val="00A2389C"/>
    <w:rsid w:val="00A238E5"/>
    <w:rsid w:val="00A23B75"/>
    <w:rsid w:val="00A25DEA"/>
    <w:rsid w:val="00A25E77"/>
    <w:rsid w:val="00A2642C"/>
    <w:rsid w:val="00A27853"/>
    <w:rsid w:val="00A279C4"/>
    <w:rsid w:val="00A27A3B"/>
    <w:rsid w:val="00A27EEC"/>
    <w:rsid w:val="00A31614"/>
    <w:rsid w:val="00A317AE"/>
    <w:rsid w:val="00A3261C"/>
    <w:rsid w:val="00A334EF"/>
    <w:rsid w:val="00A34146"/>
    <w:rsid w:val="00A343D0"/>
    <w:rsid w:val="00A36443"/>
    <w:rsid w:val="00A36815"/>
    <w:rsid w:val="00A37024"/>
    <w:rsid w:val="00A43B7E"/>
    <w:rsid w:val="00A44443"/>
    <w:rsid w:val="00A46AB2"/>
    <w:rsid w:val="00A477C5"/>
    <w:rsid w:val="00A50A5A"/>
    <w:rsid w:val="00A5176F"/>
    <w:rsid w:val="00A51771"/>
    <w:rsid w:val="00A519AF"/>
    <w:rsid w:val="00A521F1"/>
    <w:rsid w:val="00A522A3"/>
    <w:rsid w:val="00A52753"/>
    <w:rsid w:val="00A53D37"/>
    <w:rsid w:val="00A5496C"/>
    <w:rsid w:val="00A54D72"/>
    <w:rsid w:val="00A551D3"/>
    <w:rsid w:val="00A553DA"/>
    <w:rsid w:val="00A5633F"/>
    <w:rsid w:val="00A564DB"/>
    <w:rsid w:val="00A617AF"/>
    <w:rsid w:val="00A63001"/>
    <w:rsid w:val="00A63BAF"/>
    <w:rsid w:val="00A64111"/>
    <w:rsid w:val="00A652DE"/>
    <w:rsid w:val="00A65CFF"/>
    <w:rsid w:val="00A66E0D"/>
    <w:rsid w:val="00A7092B"/>
    <w:rsid w:val="00A71CB9"/>
    <w:rsid w:val="00A74511"/>
    <w:rsid w:val="00A77534"/>
    <w:rsid w:val="00A77F97"/>
    <w:rsid w:val="00A80376"/>
    <w:rsid w:val="00A80695"/>
    <w:rsid w:val="00A812FE"/>
    <w:rsid w:val="00A81808"/>
    <w:rsid w:val="00A8237D"/>
    <w:rsid w:val="00A83248"/>
    <w:rsid w:val="00A8357B"/>
    <w:rsid w:val="00A866DC"/>
    <w:rsid w:val="00A87804"/>
    <w:rsid w:val="00A87BD7"/>
    <w:rsid w:val="00A90D0F"/>
    <w:rsid w:val="00A938E0"/>
    <w:rsid w:val="00A95B7C"/>
    <w:rsid w:val="00A962EE"/>
    <w:rsid w:val="00AA175E"/>
    <w:rsid w:val="00AA1C9D"/>
    <w:rsid w:val="00AA1D9B"/>
    <w:rsid w:val="00AA290A"/>
    <w:rsid w:val="00AA46FB"/>
    <w:rsid w:val="00AA4F3E"/>
    <w:rsid w:val="00AA5145"/>
    <w:rsid w:val="00AA6711"/>
    <w:rsid w:val="00AA6F32"/>
    <w:rsid w:val="00AA72CB"/>
    <w:rsid w:val="00AA72FF"/>
    <w:rsid w:val="00AA78E9"/>
    <w:rsid w:val="00AB0285"/>
    <w:rsid w:val="00AB155A"/>
    <w:rsid w:val="00AB3583"/>
    <w:rsid w:val="00AB36B4"/>
    <w:rsid w:val="00AB3FFD"/>
    <w:rsid w:val="00AB4334"/>
    <w:rsid w:val="00AB6E86"/>
    <w:rsid w:val="00AB765C"/>
    <w:rsid w:val="00AB7798"/>
    <w:rsid w:val="00AC068F"/>
    <w:rsid w:val="00AC0983"/>
    <w:rsid w:val="00AC2425"/>
    <w:rsid w:val="00AC413A"/>
    <w:rsid w:val="00AC47BD"/>
    <w:rsid w:val="00AC4807"/>
    <w:rsid w:val="00AC4AFE"/>
    <w:rsid w:val="00AC4C85"/>
    <w:rsid w:val="00AC4E75"/>
    <w:rsid w:val="00AC4EC4"/>
    <w:rsid w:val="00AC59AC"/>
    <w:rsid w:val="00AC5EA0"/>
    <w:rsid w:val="00AC70E2"/>
    <w:rsid w:val="00AC74A9"/>
    <w:rsid w:val="00AD04D9"/>
    <w:rsid w:val="00AD31AF"/>
    <w:rsid w:val="00AD6AE2"/>
    <w:rsid w:val="00AE09FB"/>
    <w:rsid w:val="00AE2163"/>
    <w:rsid w:val="00AE22FA"/>
    <w:rsid w:val="00AE34FD"/>
    <w:rsid w:val="00AE374A"/>
    <w:rsid w:val="00AE3836"/>
    <w:rsid w:val="00AE3B98"/>
    <w:rsid w:val="00AE5141"/>
    <w:rsid w:val="00AE52C8"/>
    <w:rsid w:val="00AE535A"/>
    <w:rsid w:val="00AE5547"/>
    <w:rsid w:val="00AE5B43"/>
    <w:rsid w:val="00AE669E"/>
    <w:rsid w:val="00AF29BE"/>
    <w:rsid w:val="00AF2A6F"/>
    <w:rsid w:val="00AF2FDA"/>
    <w:rsid w:val="00AF3A49"/>
    <w:rsid w:val="00AF4BF6"/>
    <w:rsid w:val="00AF58DB"/>
    <w:rsid w:val="00AF5DFC"/>
    <w:rsid w:val="00AF632A"/>
    <w:rsid w:val="00AF6B0C"/>
    <w:rsid w:val="00AF77AE"/>
    <w:rsid w:val="00B0011C"/>
    <w:rsid w:val="00B0130F"/>
    <w:rsid w:val="00B026A2"/>
    <w:rsid w:val="00B0294C"/>
    <w:rsid w:val="00B0349D"/>
    <w:rsid w:val="00B04B01"/>
    <w:rsid w:val="00B04EF3"/>
    <w:rsid w:val="00B06B82"/>
    <w:rsid w:val="00B073C7"/>
    <w:rsid w:val="00B11F65"/>
    <w:rsid w:val="00B139BF"/>
    <w:rsid w:val="00B13B0A"/>
    <w:rsid w:val="00B1540C"/>
    <w:rsid w:val="00B1617A"/>
    <w:rsid w:val="00B1654E"/>
    <w:rsid w:val="00B1760C"/>
    <w:rsid w:val="00B2051D"/>
    <w:rsid w:val="00B21C2D"/>
    <w:rsid w:val="00B22907"/>
    <w:rsid w:val="00B244B8"/>
    <w:rsid w:val="00B264CD"/>
    <w:rsid w:val="00B269C1"/>
    <w:rsid w:val="00B27FBF"/>
    <w:rsid w:val="00B30CBC"/>
    <w:rsid w:val="00B31270"/>
    <w:rsid w:val="00B328EA"/>
    <w:rsid w:val="00B3328B"/>
    <w:rsid w:val="00B336F0"/>
    <w:rsid w:val="00B34B49"/>
    <w:rsid w:val="00B34D27"/>
    <w:rsid w:val="00B35F7C"/>
    <w:rsid w:val="00B3720C"/>
    <w:rsid w:val="00B37AA7"/>
    <w:rsid w:val="00B40AA8"/>
    <w:rsid w:val="00B40DAD"/>
    <w:rsid w:val="00B41FBB"/>
    <w:rsid w:val="00B4313F"/>
    <w:rsid w:val="00B43425"/>
    <w:rsid w:val="00B43CD6"/>
    <w:rsid w:val="00B46F74"/>
    <w:rsid w:val="00B50101"/>
    <w:rsid w:val="00B51B44"/>
    <w:rsid w:val="00B53C1E"/>
    <w:rsid w:val="00B54B7D"/>
    <w:rsid w:val="00B55D19"/>
    <w:rsid w:val="00B57ACA"/>
    <w:rsid w:val="00B57D13"/>
    <w:rsid w:val="00B60022"/>
    <w:rsid w:val="00B61DAF"/>
    <w:rsid w:val="00B638B0"/>
    <w:rsid w:val="00B6469B"/>
    <w:rsid w:val="00B65BD2"/>
    <w:rsid w:val="00B66232"/>
    <w:rsid w:val="00B67134"/>
    <w:rsid w:val="00B67136"/>
    <w:rsid w:val="00B6750A"/>
    <w:rsid w:val="00B7025A"/>
    <w:rsid w:val="00B70C1D"/>
    <w:rsid w:val="00B70C5A"/>
    <w:rsid w:val="00B717AF"/>
    <w:rsid w:val="00B7192C"/>
    <w:rsid w:val="00B71CDB"/>
    <w:rsid w:val="00B72883"/>
    <w:rsid w:val="00B7308D"/>
    <w:rsid w:val="00B7359A"/>
    <w:rsid w:val="00B816D8"/>
    <w:rsid w:val="00B82CE3"/>
    <w:rsid w:val="00B84CBD"/>
    <w:rsid w:val="00B85184"/>
    <w:rsid w:val="00B85884"/>
    <w:rsid w:val="00B85DC7"/>
    <w:rsid w:val="00B8710B"/>
    <w:rsid w:val="00B90A53"/>
    <w:rsid w:val="00B91289"/>
    <w:rsid w:val="00B91DC7"/>
    <w:rsid w:val="00B922E4"/>
    <w:rsid w:val="00B92350"/>
    <w:rsid w:val="00B9247E"/>
    <w:rsid w:val="00B9278B"/>
    <w:rsid w:val="00B92DFB"/>
    <w:rsid w:val="00B930CE"/>
    <w:rsid w:val="00B9487B"/>
    <w:rsid w:val="00B94B20"/>
    <w:rsid w:val="00B95497"/>
    <w:rsid w:val="00B975A6"/>
    <w:rsid w:val="00BA01CE"/>
    <w:rsid w:val="00BA0877"/>
    <w:rsid w:val="00BA0AB7"/>
    <w:rsid w:val="00BA1A0E"/>
    <w:rsid w:val="00BA3392"/>
    <w:rsid w:val="00BA4D26"/>
    <w:rsid w:val="00BA55E5"/>
    <w:rsid w:val="00BA630D"/>
    <w:rsid w:val="00BA6820"/>
    <w:rsid w:val="00BA700F"/>
    <w:rsid w:val="00BB2050"/>
    <w:rsid w:val="00BB2B3E"/>
    <w:rsid w:val="00BB37C1"/>
    <w:rsid w:val="00BB3C58"/>
    <w:rsid w:val="00BB3CB6"/>
    <w:rsid w:val="00BB4156"/>
    <w:rsid w:val="00BB4237"/>
    <w:rsid w:val="00BB4A4A"/>
    <w:rsid w:val="00BB4EA2"/>
    <w:rsid w:val="00BB5A2F"/>
    <w:rsid w:val="00BB5EB7"/>
    <w:rsid w:val="00BB73C9"/>
    <w:rsid w:val="00BB77E7"/>
    <w:rsid w:val="00BB7F5A"/>
    <w:rsid w:val="00BC1A29"/>
    <w:rsid w:val="00BC3EFB"/>
    <w:rsid w:val="00BC460D"/>
    <w:rsid w:val="00BC7142"/>
    <w:rsid w:val="00BC75F7"/>
    <w:rsid w:val="00BC7DD6"/>
    <w:rsid w:val="00BD273D"/>
    <w:rsid w:val="00BD507D"/>
    <w:rsid w:val="00BD6406"/>
    <w:rsid w:val="00BD7053"/>
    <w:rsid w:val="00BD7603"/>
    <w:rsid w:val="00BE191B"/>
    <w:rsid w:val="00BE1AD2"/>
    <w:rsid w:val="00BE35FE"/>
    <w:rsid w:val="00BE3881"/>
    <w:rsid w:val="00BE4436"/>
    <w:rsid w:val="00BE44D3"/>
    <w:rsid w:val="00BE511E"/>
    <w:rsid w:val="00BF0336"/>
    <w:rsid w:val="00BF0B08"/>
    <w:rsid w:val="00BF13E9"/>
    <w:rsid w:val="00BF1733"/>
    <w:rsid w:val="00BF191D"/>
    <w:rsid w:val="00BF3947"/>
    <w:rsid w:val="00BF3FAE"/>
    <w:rsid w:val="00BF4B93"/>
    <w:rsid w:val="00BF4FD1"/>
    <w:rsid w:val="00BF5923"/>
    <w:rsid w:val="00BF6A7C"/>
    <w:rsid w:val="00BF6E8E"/>
    <w:rsid w:val="00BF7996"/>
    <w:rsid w:val="00BF7E5A"/>
    <w:rsid w:val="00C004AC"/>
    <w:rsid w:val="00C011CD"/>
    <w:rsid w:val="00C0213F"/>
    <w:rsid w:val="00C064D5"/>
    <w:rsid w:val="00C06796"/>
    <w:rsid w:val="00C06B9C"/>
    <w:rsid w:val="00C07A4F"/>
    <w:rsid w:val="00C1099B"/>
    <w:rsid w:val="00C122DD"/>
    <w:rsid w:val="00C13D62"/>
    <w:rsid w:val="00C13E4F"/>
    <w:rsid w:val="00C14215"/>
    <w:rsid w:val="00C14512"/>
    <w:rsid w:val="00C16B5E"/>
    <w:rsid w:val="00C20F1D"/>
    <w:rsid w:val="00C21337"/>
    <w:rsid w:val="00C21590"/>
    <w:rsid w:val="00C21931"/>
    <w:rsid w:val="00C2282C"/>
    <w:rsid w:val="00C22F2A"/>
    <w:rsid w:val="00C23573"/>
    <w:rsid w:val="00C239AF"/>
    <w:rsid w:val="00C23EDC"/>
    <w:rsid w:val="00C23EDD"/>
    <w:rsid w:val="00C2402A"/>
    <w:rsid w:val="00C25736"/>
    <w:rsid w:val="00C25F86"/>
    <w:rsid w:val="00C26DC8"/>
    <w:rsid w:val="00C31507"/>
    <w:rsid w:val="00C319DB"/>
    <w:rsid w:val="00C33A3B"/>
    <w:rsid w:val="00C33B2D"/>
    <w:rsid w:val="00C3579C"/>
    <w:rsid w:val="00C3615C"/>
    <w:rsid w:val="00C3681F"/>
    <w:rsid w:val="00C37172"/>
    <w:rsid w:val="00C379CD"/>
    <w:rsid w:val="00C437BA"/>
    <w:rsid w:val="00C44EFF"/>
    <w:rsid w:val="00C462D8"/>
    <w:rsid w:val="00C50796"/>
    <w:rsid w:val="00C510A1"/>
    <w:rsid w:val="00C510C8"/>
    <w:rsid w:val="00C52AB6"/>
    <w:rsid w:val="00C536CE"/>
    <w:rsid w:val="00C54135"/>
    <w:rsid w:val="00C56344"/>
    <w:rsid w:val="00C57BC0"/>
    <w:rsid w:val="00C62508"/>
    <w:rsid w:val="00C6478E"/>
    <w:rsid w:val="00C656B0"/>
    <w:rsid w:val="00C6681F"/>
    <w:rsid w:val="00C67035"/>
    <w:rsid w:val="00C678E4"/>
    <w:rsid w:val="00C67C69"/>
    <w:rsid w:val="00C67F75"/>
    <w:rsid w:val="00C706F5"/>
    <w:rsid w:val="00C70934"/>
    <w:rsid w:val="00C7168D"/>
    <w:rsid w:val="00C718A7"/>
    <w:rsid w:val="00C71A04"/>
    <w:rsid w:val="00C72495"/>
    <w:rsid w:val="00C72565"/>
    <w:rsid w:val="00C72F46"/>
    <w:rsid w:val="00C72F4D"/>
    <w:rsid w:val="00C73EF6"/>
    <w:rsid w:val="00C752CE"/>
    <w:rsid w:val="00C7637A"/>
    <w:rsid w:val="00C77AB1"/>
    <w:rsid w:val="00C815B2"/>
    <w:rsid w:val="00C82D82"/>
    <w:rsid w:val="00C856E6"/>
    <w:rsid w:val="00C90860"/>
    <w:rsid w:val="00C90E56"/>
    <w:rsid w:val="00C93139"/>
    <w:rsid w:val="00C9344B"/>
    <w:rsid w:val="00C93E15"/>
    <w:rsid w:val="00C96A0B"/>
    <w:rsid w:val="00C96B61"/>
    <w:rsid w:val="00CA0A81"/>
    <w:rsid w:val="00CA0AAC"/>
    <w:rsid w:val="00CA17E5"/>
    <w:rsid w:val="00CA2C12"/>
    <w:rsid w:val="00CA3746"/>
    <w:rsid w:val="00CA3F06"/>
    <w:rsid w:val="00CA542D"/>
    <w:rsid w:val="00CA586F"/>
    <w:rsid w:val="00CA5957"/>
    <w:rsid w:val="00CA5C20"/>
    <w:rsid w:val="00CA604F"/>
    <w:rsid w:val="00CA730B"/>
    <w:rsid w:val="00CB2B13"/>
    <w:rsid w:val="00CB4ED2"/>
    <w:rsid w:val="00CB547F"/>
    <w:rsid w:val="00CC2DD9"/>
    <w:rsid w:val="00CC3477"/>
    <w:rsid w:val="00CC3737"/>
    <w:rsid w:val="00CC3D1D"/>
    <w:rsid w:val="00CC4189"/>
    <w:rsid w:val="00CC4B97"/>
    <w:rsid w:val="00CC694D"/>
    <w:rsid w:val="00CC7AB8"/>
    <w:rsid w:val="00CD07B1"/>
    <w:rsid w:val="00CD0FB1"/>
    <w:rsid w:val="00CD3272"/>
    <w:rsid w:val="00CD370F"/>
    <w:rsid w:val="00CD3818"/>
    <w:rsid w:val="00CD3A86"/>
    <w:rsid w:val="00CD3C84"/>
    <w:rsid w:val="00CD4A49"/>
    <w:rsid w:val="00CD5753"/>
    <w:rsid w:val="00CD6790"/>
    <w:rsid w:val="00CD738D"/>
    <w:rsid w:val="00CD74DE"/>
    <w:rsid w:val="00CE040F"/>
    <w:rsid w:val="00CE0FE4"/>
    <w:rsid w:val="00CE15D7"/>
    <w:rsid w:val="00CE1B8F"/>
    <w:rsid w:val="00CE2261"/>
    <w:rsid w:val="00CE234B"/>
    <w:rsid w:val="00CE2E59"/>
    <w:rsid w:val="00CE416E"/>
    <w:rsid w:val="00CE4647"/>
    <w:rsid w:val="00CE52FF"/>
    <w:rsid w:val="00CE54D7"/>
    <w:rsid w:val="00CE56BE"/>
    <w:rsid w:val="00CE6841"/>
    <w:rsid w:val="00CE7354"/>
    <w:rsid w:val="00CE7FA2"/>
    <w:rsid w:val="00CF01A3"/>
    <w:rsid w:val="00CF05BC"/>
    <w:rsid w:val="00CF0628"/>
    <w:rsid w:val="00CF0A56"/>
    <w:rsid w:val="00CF1365"/>
    <w:rsid w:val="00CF143A"/>
    <w:rsid w:val="00CF2612"/>
    <w:rsid w:val="00CF26E4"/>
    <w:rsid w:val="00CF3D84"/>
    <w:rsid w:val="00CF6C15"/>
    <w:rsid w:val="00CF72A7"/>
    <w:rsid w:val="00CF7638"/>
    <w:rsid w:val="00CF7A1A"/>
    <w:rsid w:val="00CF7DB0"/>
    <w:rsid w:val="00D00280"/>
    <w:rsid w:val="00D0421A"/>
    <w:rsid w:val="00D050C9"/>
    <w:rsid w:val="00D05850"/>
    <w:rsid w:val="00D07152"/>
    <w:rsid w:val="00D07A6F"/>
    <w:rsid w:val="00D10816"/>
    <w:rsid w:val="00D114C8"/>
    <w:rsid w:val="00D12B2B"/>
    <w:rsid w:val="00D13033"/>
    <w:rsid w:val="00D1574E"/>
    <w:rsid w:val="00D15991"/>
    <w:rsid w:val="00D15E10"/>
    <w:rsid w:val="00D15E93"/>
    <w:rsid w:val="00D15F11"/>
    <w:rsid w:val="00D160E2"/>
    <w:rsid w:val="00D172F2"/>
    <w:rsid w:val="00D175B7"/>
    <w:rsid w:val="00D17BB1"/>
    <w:rsid w:val="00D2070D"/>
    <w:rsid w:val="00D20DDC"/>
    <w:rsid w:val="00D2159E"/>
    <w:rsid w:val="00D22D00"/>
    <w:rsid w:val="00D22D50"/>
    <w:rsid w:val="00D23230"/>
    <w:rsid w:val="00D2384B"/>
    <w:rsid w:val="00D23AEC"/>
    <w:rsid w:val="00D2409F"/>
    <w:rsid w:val="00D2568F"/>
    <w:rsid w:val="00D25872"/>
    <w:rsid w:val="00D25CAD"/>
    <w:rsid w:val="00D25D93"/>
    <w:rsid w:val="00D25DFE"/>
    <w:rsid w:val="00D2621D"/>
    <w:rsid w:val="00D2686F"/>
    <w:rsid w:val="00D27711"/>
    <w:rsid w:val="00D27E4A"/>
    <w:rsid w:val="00D27E58"/>
    <w:rsid w:val="00D30132"/>
    <w:rsid w:val="00D306EC"/>
    <w:rsid w:val="00D318B2"/>
    <w:rsid w:val="00D355D9"/>
    <w:rsid w:val="00D35766"/>
    <w:rsid w:val="00D36580"/>
    <w:rsid w:val="00D37725"/>
    <w:rsid w:val="00D40E3F"/>
    <w:rsid w:val="00D41453"/>
    <w:rsid w:val="00D41C51"/>
    <w:rsid w:val="00D42060"/>
    <w:rsid w:val="00D47EEF"/>
    <w:rsid w:val="00D500F7"/>
    <w:rsid w:val="00D54D9E"/>
    <w:rsid w:val="00D5578A"/>
    <w:rsid w:val="00D56D1A"/>
    <w:rsid w:val="00D56F32"/>
    <w:rsid w:val="00D575B4"/>
    <w:rsid w:val="00D63160"/>
    <w:rsid w:val="00D639DC"/>
    <w:rsid w:val="00D64210"/>
    <w:rsid w:val="00D64271"/>
    <w:rsid w:val="00D64C5F"/>
    <w:rsid w:val="00D659B0"/>
    <w:rsid w:val="00D65A59"/>
    <w:rsid w:val="00D65EB6"/>
    <w:rsid w:val="00D66EAE"/>
    <w:rsid w:val="00D67192"/>
    <w:rsid w:val="00D678FC"/>
    <w:rsid w:val="00D707CA"/>
    <w:rsid w:val="00D713C8"/>
    <w:rsid w:val="00D71C58"/>
    <w:rsid w:val="00D72075"/>
    <w:rsid w:val="00D734D5"/>
    <w:rsid w:val="00D73604"/>
    <w:rsid w:val="00D73E1F"/>
    <w:rsid w:val="00D74528"/>
    <w:rsid w:val="00D7539E"/>
    <w:rsid w:val="00D75AA7"/>
    <w:rsid w:val="00D75B88"/>
    <w:rsid w:val="00D75CDF"/>
    <w:rsid w:val="00D76043"/>
    <w:rsid w:val="00D762E1"/>
    <w:rsid w:val="00D76B07"/>
    <w:rsid w:val="00D77362"/>
    <w:rsid w:val="00D77B49"/>
    <w:rsid w:val="00D800C6"/>
    <w:rsid w:val="00D846AD"/>
    <w:rsid w:val="00D84FA7"/>
    <w:rsid w:val="00D853C3"/>
    <w:rsid w:val="00D85B17"/>
    <w:rsid w:val="00D90279"/>
    <w:rsid w:val="00D910B2"/>
    <w:rsid w:val="00D915DF"/>
    <w:rsid w:val="00D918EB"/>
    <w:rsid w:val="00D91E31"/>
    <w:rsid w:val="00D9210F"/>
    <w:rsid w:val="00D92FF2"/>
    <w:rsid w:val="00D9418F"/>
    <w:rsid w:val="00D945BE"/>
    <w:rsid w:val="00D9515F"/>
    <w:rsid w:val="00D95233"/>
    <w:rsid w:val="00D95FD6"/>
    <w:rsid w:val="00D97E08"/>
    <w:rsid w:val="00DA0D08"/>
    <w:rsid w:val="00DA10BB"/>
    <w:rsid w:val="00DA1AFE"/>
    <w:rsid w:val="00DA272B"/>
    <w:rsid w:val="00DA3609"/>
    <w:rsid w:val="00DA4654"/>
    <w:rsid w:val="00DA4ACE"/>
    <w:rsid w:val="00DA5BD2"/>
    <w:rsid w:val="00DA5F7B"/>
    <w:rsid w:val="00DA7C09"/>
    <w:rsid w:val="00DB2270"/>
    <w:rsid w:val="00DB257F"/>
    <w:rsid w:val="00DB365E"/>
    <w:rsid w:val="00DB3933"/>
    <w:rsid w:val="00DB5F46"/>
    <w:rsid w:val="00DB6BFA"/>
    <w:rsid w:val="00DB6D1F"/>
    <w:rsid w:val="00DB730E"/>
    <w:rsid w:val="00DC0126"/>
    <w:rsid w:val="00DC076B"/>
    <w:rsid w:val="00DC0F5A"/>
    <w:rsid w:val="00DC1E84"/>
    <w:rsid w:val="00DC1F16"/>
    <w:rsid w:val="00DC2754"/>
    <w:rsid w:val="00DC2B19"/>
    <w:rsid w:val="00DC3274"/>
    <w:rsid w:val="00DC3C82"/>
    <w:rsid w:val="00DC46E3"/>
    <w:rsid w:val="00DC4AB6"/>
    <w:rsid w:val="00DC4AEC"/>
    <w:rsid w:val="00DC55D5"/>
    <w:rsid w:val="00DC5DC0"/>
    <w:rsid w:val="00DC6235"/>
    <w:rsid w:val="00DC644B"/>
    <w:rsid w:val="00DC73D5"/>
    <w:rsid w:val="00DC7459"/>
    <w:rsid w:val="00DC74F2"/>
    <w:rsid w:val="00DC78B8"/>
    <w:rsid w:val="00DC7B31"/>
    <w:rsid w:val="00DC7D70"/>
    <w:rsid w:val="00DD164C"/>
    <w:rsid w:val="00DD2207"/>
    <w:rsid w:val="00DD320D"/>
    <w:rsid w:val="00DD4B1B"/>
    <w:rsid w:val="00DD573C"/>
    <w:rsid w:val="00DD66CE"/>
    <w:rsid w:val="00DD699A"/>
    <w:rsid w:val="00DE1949"/>
    <w:rsid w:val="00DE25CF"/>
    <w:rsid w:val="00DE3120"/>
    <w:rsid w:val="00DE4A3E"/>
    <w:rsid w:val="00DE5129"/>
    <w:rsid w:val="00DE5934"/>
    <w:rsid w:val="00DE6527"/>
    <w:rsid w:val="00DF04B0"/>
    <w:rsid w:val="00DF1DB4"/>
    <w:rsid w:val="00DF1F5B"/>
    <w:rsid w:val="00DF2BFE"/>
    <w:rsid w:val="00DF2DA4"/>
    <w:rsid w:val="00DF40AF"/>
    <w:rsid w:val="00DF4ADB"/>
    <w:rsid w:val="00DF669B"/>
    <w:rsid w:val="00DF6DB0"/>
    <w:rsid w:val="00E00601"/>
    <w:rsid w:val="00E00766"/>
    <w:rsid w:val="00E01FE8"/>
    <w:rsid w:val="00E02966"/>
    <w:rsid w:val="00E02DDA"/>
    <w:rsid w:val="00E037EB"/>
    <w:rsid w:val="00E0478E"/>
    <w:rsid w:val="00E04BA5"/>
    <w:rsid w:val="00E04C87"/>
    <w:rsid w:val="00E07605"/>
    <w:rsid w:val="00E07976"/>
    <w:rsid w:val="00E07992"/>
    <w:rsid w:val="00E11A08"/>
    <w:rsid w:val="00E153D4"/>
    <w:rsid w:val="00E161A4"/>
    <w:rsid w:val="00E200DE"/>
    <w:rsid w:val="00E20EF5"/>
    <w:rsid w:val="00E22075"/>
    <w:rsid w:val="00E224C1"/>
    <w:rsid w:val="00E23191"/>
    <w:rsid w:val="00E242FE"/>
    <w:rsid w:val="00E26D27"/>
    <w:rsid w:val="00E26FDA"/>
    <w:rsid w:val="00E27244"/>
    <w:rsid w:val="00E27410"/>
    <w:rsid w:val="00E31501"/>
    <w:rsid w:val="00E31508"/>
    <w:rsid w:val="00E33E4A"/>
    <w:rsid w:val="00E35CA2"/>
    <w:rsid w:val="00E36EA7"/>
    <w:rsid w:val="00E376D6"/>
    <w:rsid w:val="00E37D9A"/>
    <w:rsid w:val="00E37FE7"/>
    <w:rsid w:val="00E4117B"/>
    <w:rsid w:val="00E43C83"/>
    <w:rsid w:val="00E43D08"/>
    <w:rsid w:val="00E44EA5"/>
    <w:rsid w:val="00E4502F"/>
    <w:rsid w:val="00E45355"/>
    <w:rsid w:val="00E465B7"/>
    <w:rsid w:val="00E46643"/>
    <w:rsid w:val="00E466AC"/>
    <w:rsid w:val="00E46BF9"/>
    <w:rsid w:val="00E47D9F"/>
    <w:rsid w:val="00E51B20"/>
    <w:rsid w:val="00E526A8"/>
    <w:rsid w:val="00E52ABB"/>
    <w:rsid w:val="00E5311E"/>
    <w:rsid w:val="00E5395F"/>
    <w:rsid w:val="00E55A1B"/>
    <w:rsid w:val="00E55CAB"/>
    <w:rsid w:val="00E56DD9"/>
    <w:rsid w:val="00E572EB"/>
    <w:rsid w:val="00E5771E"/>
    <w:rsid w:val="00E60704"/>
    <w:rsid w:val="00E608E5"/>
    <w:rsid w:val="00E61BB7"/>
    <w:rsid w:val="00E625BC"/>
    <w:rsid w:val="00E62A1E"/>
    <w:rsid w:val="00E63250"/>
    <w:rsid w:val="00E63A24"/>
    <w:rsid w:val="00E63E31"/>
    <w:rsid w:val="00E64218"/>
    <w:rsid w:val="00E65049"/>
    <w:rsid w:val="00E67E49"/>
    <w:rsid w:val="00E70317"/>
    <w:rsid w:val="00E71FC0"/>
    <w:rsid w:val="00E71FC1"/>
    <w:rsid w:val="00E741D4"/>
    <w:rsid w:val="00E746F3"/>
    <w:rsid w:val="00E75BB3"/>
    <w:rsid w:val="00E75E5B"/>
    <w:rsid w:val="00E76CC6"/>
    <w:rsid w:val="00E80587"/>
    <w:rsid w:val="00E811F2"/>
    <w:rsid w:val="00E81AF6"/>
    <w:rsid w:val="00E8273E"/>
    <w:rsid w:val="00E84B02"/>
    <w:rsid w:val="00E860C5"/>
    <w:rsid w:val="00E8732B"/>
    <w:rsid w:val="00E8771B"/>
    <w:rsid w:val="00E87CCD"/>
    <w:rsid w:val="00E87E74"/>
    <w:rsid w:val="00E90B70"/>
    <w:rsid w:val="00E91959"/>
    <w:rsid w:val="00E91F46"/>
    <w:rsid w:val="00E926DF"/>
    <w:rsid w:val="00E93F4E"/>
    <w:rsid w:val="00E95305"/>
    <w:rsid w:val="00E955F2"/>
    <w:rsid w:val="00E95B72"/>
    <w:rsid w:val="00E95D4A"/>
    <w:rsid w:val="00E97668"/>
    <w:rsid w:val="00E97FDD"/>
    <w:rsid w:val="00EA111A"/>
    <w:rsid w:val="00EA230C"/>
    <w:rsid w:val="00EA3E25"/>
    <w:rsid w:val="00EA5C9E"/>
    <w:rsid w:val="00EA6759"/>
    <w:rsid w:val="00EA6F89"/>
    <w:rsid w:val="00EB1381"/>
    <w:rsid w:val="00EB1492"/>
    <w:rsid w:val="00EB1D94"/>
    <w:rsid w:val="00EB1DBA"/>
    <w:rsid w:val="00EB3330"/>
    <w:rsid w:val="00EB3692"/>
    <w:rsid w:val="00EB50F5"/>
    <w:rsid w:val="00EB54BF"/>
    <w:rsid w:val="00EB559D"/>
    <w:rsid w:val="00EB701C"/>
    <w:rsid w:val="00EB7283"/>
    <w:rsid w:val="00EB76C4"/>
    <w:rsid w:val="00EC0548"/>
    <w:rsid w:val="00EC2FD4"/>
    <w:rsid w:val="00EC53A7"/>
    <w:rsid w:val="00EC560F"/>
    <w:rsid w:val="00EC58AB"/>
    <w:rsid w:val="00EC6DD2"/>
    <w:rsid w:val="00EC7223"/>
    <w:rsid w:val="00EC7A9B"/>
    <w:rsid w:val="00EC7DBF"/>
    <w:rsid w:val="00EC7F89"/>
    <w:rsid w:val="00ED061A"/>
    <w:rsid w:val="00ED0A45"/>
    <w:rsid w:val="00ED1E8F"/>
    <w:rsid w:val="00ED3874"/>
    <w:rsid w:val="00ED3EFC"/>
    <w:rsid w:val="00ED406B"/>
    <w:rsid w:val="00ED4580"/>
    <w:rsid w:val="00ED5A38"/>
    <w:rsid w:val="00ED64DF"/>
    <w:rsid w:val="00ED7ECC"/>
    <w:rsid w:val="00EE0034"/>
    <w:rsid w:val="00EE1303"/>
    <w:rsid w:val="00EE153D"/>
    <w:rsid w:val="00EE2AB8"/>
    <w:rsid w:val="00EE3A0E"/>
    <w:rsid w:val="00EE3B5C"/>
    <w:rsid w:val="00EE4A63"/>
    <w:rsid w:val="00EE52F2"/>
    <w:rsid w:val="00EE551F"/>
    <w:rsid w:val="00EE5977"/>
    <w:rsid w:val="00EE5B9F"/>
    <w:rsid w:val="00EE6462"/>
    <w:rsid w:val="00EE717B"/>
    <w:rsid w:val="00EE78BA"/>
    <w:rsid w:val="00EE79B7"/>
    <w:rsid w:val="00EF08A4"/>
    <w:rsid w:val="00EF0A1A"/>
    <w:rsid w:val="00EF4072"/>
    <w:rsid w:val="00EF4170"/>
    <w:rsid w:val="00EF6000"/>
    <w:rsid w:val="00EF65D2"/>
    <w:rsid w:val="00EF7B9F"/>
    <w:rsid w:val="00F01260"/>
    <w:rsid w:val="00F01736"/>
    <w:rsid w:val="00F0175E"/>
    <w:rsid w:val="00F01C50"/>
    <w:rsid w:val="00F021AB"/>
    <w:rsid w:val="00F0419C"/>
    <w:rsid w:val="00F0587D"/>
    <w:rsid w:val="00F06B93"/>
    <w:rsid w:val="00F0770E"/>
    <w:rsid w:val="00F07916"/>
    <w:rsid w:val="00F079BC"/>
    <w:rsid w:val="00F10734"/>
    <w:rsid w:val="00F122B2"/>
    <w:rsid w:val="00F125CB"/>
    <w:rsid w:val="00F12E1F"/>
    <w:rsid w:val="00F138E3"/>
    <w:rsid w:val="00F1521E"/>
    <w:rsid w:val="00F156B6"/>
    <w:rsid w:val="00F16581"/>
    <w:rsid w:val="00F1757A"/>
    <w:rsid w:val="00F203BD"/>
    <w:rsid w:val="00F20DD1"/>
    <w:rsid w:val="00F2171F"/>
    <w:rsid w:val="00F22DBC"/>
    <w:rsid w:val="00F22E77"/>
    <w:rsid w:val="00F23457"/>
    <w:rsid w:val="00F2367B"/>
    <w:rsid w:val="00F23E34"/>
    <w:rsid w:val="00F24CB5"/>
    <w:rsid w:val="00F2798E"/>
    <w:rsid w:val="00F27A65"/>
    <w:rsid w:val="00F323BB"/>
    <w:rsid w:val="00F3312D"/>
    <w:rsid w:val="00F34B6A"/>
    <w:rsid w:val="00F35795"/>
    <w:rsid w:val="00F3652A"/>
    <w:rsid w:val="00F36B85"/>
    <w:rsid w:val="00F400CC"/>
    <w:rsid w:val="00F40315"/>
    <w:rsid w:val="00F404D2"/>
    <w:rsid w:val="00F41786"/>
    <w:rsid w:val="00F418FF"/>
    <w:rsid w:val="00F41C48"/>
    <w:rsid w:val="00F42F40"/>
    <w:rsid w:val="00F43CEA"/>
    <w:rsid w:val="00F45564"/>
    <w:rsid w:val="00F45AC1"/>
    <w:rsid w:val="00F501F8"/>
    <w:rsid w:val="00F50DD8"/>
    <w:rsid w:val="00F518CC"/>
    <w:rsid w:val="00F51A8C"/>
    <w:rsid w:val="00F523D4"/>
    <w:rsid w:val="00F52588"/>
    <w:rsid w:val="00F5396C"/>
    <w:rsid w:val="00F54AE5"/>
    <w:rsid w:val="00F54F94"/>
    <w:rsid w:val="00F562BD"/>
    <w:rsid w:val="00F56D9E"/>
    <w:rsid w:val="00F6038A"/>
    <w:rsid w:val="00F60AE9"/>
    <w:rsid w:val="00F60C0A"/>
    <w:rsid w:val="00F61948"/>
    <w:rsid w:val="00F632CC"/>
    <w:rsid w:val="00F6338A"/>
    <w:rsid w:val="00F63F74"/>
    <w:rsid w:val="00F6473F"/>
    <w:rsid w:val="00F64809"/>
    <w:rsid w:val="00F64E82"/>
    <w:rsid w:val="00F64F53"/>
    <w:rsid w:val="00F67AF5"/>
    <w:rsid w:val="00F67E2E"/>
    <w:rsid w:val="00F707D9"/>
    <w:rsid w:val="00F71EA7"/>
    <w:rsid w:val="00F722CA"/>
    <w:rsid w:val="00F72337"/>
    <w:rsid w:val="00F732F0"/>
    <w:rsid w:val="00F73737"/>
    <w:rsid w:val="00F748DA"/>
    <w:rsid w:val="00F76142"/>
    <w:rsid w:val="00F769F7"/>
    <w:rsid w:val="00F8058E"/>
    <w:rsid w:val="00F80ECF"/>
    <w:rsid w:val="00F82318"/>
    <w:rsid w:val="00F85797"/>
    <w:rsid w:val="00F86115"/>
    <w:rsid w:val="00F87396"/>
    <w:rsid w:val="00F87B7B"/>
    <w:rsid w:val="00F90676"/>
    <w:rsid w:val="00F92935"/>
    <w:rsid w:val="00F943DD"/>
    <w:rsid w:val="00F94464"/>
    <w:rsid w:val="00F94F6A"/>
    <w:rsid w:val="00F95D30"/>
    <w:rsid w:val="00F95E29"/>
    <w:rsid w:val="00F96A14"/>
    <w:rsid w:val="00F97F70"/>
    <w:rsid w:val="00FA0D4C"/>
    <w:rsid w:val="00FA294B"/>
    <w:rsid w:val="00FA3CA3"/>
    <w:rsid w:val="00FA4177"/>
    <w:rsid w:val="00FA5E82"/>
    <w:rsid w:val="00FA6B1B"/>
    <w:rsid w:val="00FA6B66"/>
    <w:rsid w:val="00FA7495"/>
    <w:rsid w:val="00FA7519"/>
    <w:rsid w:val="00FA7BDC"/>
    <w:rsid w:val="00FB0ECE"/>
    <w:rsid w:val="00FB257A"/>
    <w:rsid w:val="00FB3228"/>
    <w:rsid w:val="00FB49EF"/>
    <w:rsid w:val="00FB51B9"/>
    <w:rsid w:val="00FB566B"/>
    <w:rsid w:val="00FB5E87"/>
    <w:rsid w:val="00FB5FE8"/>
    <w:rsid w:val="00FB642A"/>
    <w:rsid w:val="00FB6CFD"/>
    <w:rsid w:val="00FB79D9"/>
    <w:rsid w:val="00FB7E4C"/>
    <w:rsid w:val="00FC187C"/>
    <w:rsid w:val="00FC1D62"/>
    <w:rsid w:val="00FC2506"/>
    <w:rsid w:val="00FC269F"/>
    <w:rsid w:val="00FC2907"/>
    <w:rsid w:val="00FC2C91"/>
    <w:rsid w:val="00FC37C1"/>
    <w:rsid w:val="00FC49D0"/>
    <w:rsid w:val="00FC4D22"/>
    <w:rsid w:val="00FC58FD"/>
    <w:rsid w:val="00FC5B9D"/>
    <w:rsid w:val="00FC7849"/>
    <w:rsid w:val="00FD0F83"/>
    <w:rsid w:val="00FD1140"/>
    <w:rsid w:val="00FD1BBB"/>
    <w:rsid w:val="00FD1E8E"/>
    <w:rsid w:val="00FD1EB0"/>
    <w:rsid w:val="00FD2B8F"/>
    <w:rsid w:val="00FD3EBF"/>
    <w:rsid w:val="00FD62F5"/>
    <w:rsid w:val="00FD6621"/>
    <w:rsid w:val="00FD6718"/>
    <w:rsid w:val="00FD78C6"/>
    <w:rsid w:val="00FD7A70"/>
    <w:rsid w:val="00FD7B71"/>
    <w:rsid w:val="00FD7BE0"/>
    <w:rsid w:val="00FD7C3A"/>
    <w:rsid w:val="00FE00E3"/>
    <w:rsid w:val="00FE1389"/>
    <w:rsid w:val="00FE23EB"/>
    <w:rsid w:val="00FE26EE"/>
    <w:rsid w:val="00FE2A02"/>
    <w:rsid w:val="00FE2F60"/>
    <w:rsid w:val="00FE2FBC"/>
    <w:rsid w:val="00FE3042"/>
    <w:rsid w:val="00FE3666"/>
    <w:rsid w:val="00FE4563"/>
    <w:rsid w:val="00FE4962"/>
    <w:rsid w:val="00FE51C1"/>
    <w:rsid w:val="00FE5D46"/>
    <w:rsid w:val="00FE6257"/>
    <w:rsid w:val="00FE6BA3"/>
    <w:rsid w:val="00FE7B63"/>
    <w:rsid w:val="00FE7C42"/>
    <w:rsid w:val="00FE7F3D"/>
    <w:rsid w:val="00FF46A3"/>
    <w:rsid w:val="00FF4A78"/>
    <w:rsid w:val="00FF4BEE"/>
    <w:rsid w:val="00FF599A"/>
    <w:rsid w:val="00FF61ED"/>
    <w:rsid w:val="00FF643E"/>
    <w:rsid w:val="00FF6BD6"/>
    <w:rsid w:val="00FF737E"/>
    <w:rsid w:val="00FF747D"/>
    <w:rsid w:val="00FF7DC5"/>
    <w:rsid w:val="00FF7F6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EFC20D"/>
  <w15:docId w15:val="{443BADBA-DE7A-468E-9DD0-DB1725977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296842"/>
    <w:pPr>
      <w:spacing w:after="0" w:line="360" w:lineRule="auto"/>
      <w:ind w:firstLine="720"/>
      <w:jc w:val="both"/>
    </w:pPr>
  </w:style>
  <w:style w:type="paragraph" w:styleId="Virsraksts1">
    <w:name w:val="heading 1"/>
    <w:basedOn w:val="Parasts"/>
    <w:next w:val="Parasts"/>
    <w:link w:val="Virsraksts1Rakstz"/>
    <w:uiPriority w:val="9"/>
    <w:qFormat/>
    <w:rsid w:val="007D5818"/>
    <w:pPr>
      <w:keepNext/>
      <w:keepLines/>
      <w:pageBreakBefore/>
      <w:spacing w:before="240"/>
      <w:ind w:firstLine="0"/>
      <w:jc w:val="left"/>
      <w:outlineLvl w:val="0"/>
    </w:pPr>
    <w:rPr>
      <w:rFonts w:asciiTheme="majorHAnsi" w:eastAsiaTheme="majorEastAsia" w:hAnsiTheme="majorHAnsi" w:cstheme="majorBidi"/>
      <w:color w:val="2F5496" w:themeColor="accent1" w:themeShade="BF"/>
      <w:sz w:val="32"/>
      <w:szCs w:val="32"/>
    </w:rPr>
  </w:style>
  <w:style w:type="paragraph" w:styleId="Virsraksts2">
    <w:name w:val="heading 2"/>
    <w:basedOn w:val="Parasts"/>
    <w:next w:val="Parasts"/>
    <w:link w:val="Virsraksts2Rakstz"/>
    <w:uiPriority w:val="9"/>
    <w:unhideWhenUsed/>
    <w:qFormat/>
    <w:rsid w:val="00A3414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Virsraksts3">
    <w:name w:val="heading 3"/>
    <w:basedOn w:val="Parasts"/>
    <w:next w:val="Parasts"/>
    <w:link w:val="Virsraksts3Rakstz"/>
    <w:uiPriority w:val="9"/>
    <w:unhideWhenUsed/>
    <w:qFormat/>
    <w:rsid w:val="00A34146"/>
    <w:pPr>
      <w:keepNext/>
      <w:keepLines/>
      <w:spacing w:before="40"/>
      <w:outlineLvl w:val="2"/>
    </w:pPr>
    <w:rPr>
      <w:rFonts w:asciiTheme="majorHAnsi" w:eastAsiaTheme="majorEastAsia" w:hAnsiTheme="majorHAnsi" w:cstheme="majorBidi"/>
      <w:color w:val="1F3763" w:themeColor="accent1" w:themeShade="7F"/>
      <w:szCs w:val="24"/>
    </w:rPr>
  </w:style>
  <w:style w:type="paragraph" w:styleId="Virsraksts4">
    <w:name w:val="heading 4"/>
    <w:basedOn w:val="Parasts"/>
    <w:next w:val="Parasts"/>
    <w:link w:val="Virsraksts4Rakstz"/>
    <w:uiPriority w:val="9"/>
    <w:unhideWhenUsed/>
    <w:qFormat/>
    <w:rsid w:val="0050618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7D5818"/>
    <w:rPr>
      <w:rFonts w:asciiTheme="majorHAnsi" w:eastAsiaTheme="majorEastAsia" w:hAnsiTheme="majorHAnsi" w:cstheme="majorBidi"/>
      <w:color w:val="2F5496" w:themeColor="accent1" w:themeShade="BF"/>
      <w:sz w:val="32"/>
      <w:szCs w:val="32"/>
    </w:rPr>
  </w:style>
  <w:style w:type="character" w:customStyle="1" w:styleId="Virsraksts2Rakstz">
    <w:name w:val="Virsraksts 2 Rakstz."/>
    <w:basedOn w:val="Noklusjumarindkopasfonts"/>
    <w:link w:val="Virsraksts2"/>
    <w:uiPriority w:val="9"/>
    <w:rsid w:val="00A34146"/>
    <w:rPr>
      <w:rFonts w:asciiTheme="majorHAnsi" w:eastAsiaTheme="majorEastAsia" w:hAnsiTheme="majorHAnsi" w:cstheme="majorBidi"/>
      <w:color w:val="2F5496" w:themeColor="accent1" w:themeShade="BF"/>
      <w:sz w:val="26"/>
      <w:szCs w:val="26"/>
    </w:rPr>
  </w:style>
  <w:style w:type="paragraph" w:styleId="Balonteksts">
    <w:name w:val="Balloon Text"/>
    <w:basedOn w:val="Parasts"/>
    <w:link w:val="BalontekstsRakstz"/>
    <w:uiPriority w:val="99"/>
    <w:semiHidden/>
    <w:unhideWhenUsed/>
    <w:rsid w:val="00A34146"/>
    <w:pPr>
      <w:spacing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A34146"/>
    <w:rPr>
      <w:rFonts w:ascii="Segoe UI" w:hAnsi="Segoe UI" w:cs="Segoe UI"/>
      <w:sz w:val="18"/>
      <w:szCs w:val="18"/>
    </w:rPr>
  </w:style>
  <w:style w:type="character" w:customStyle="1" w:styleId="Virsraksts3Rakstz">
    <w:name w:val="Virsraksts 3 Rakstz."/>
    <w:basedOn w:val="Noklusjumarindkopasfonts"/>
    <w:link w:val="Virsraksts3"/>
    <w:uiPriority w:val="9"/>
    <w:rsid w:val="00A34146"/>
    <w:rPr>
      <w:rFonts w:asciiTheme="majorHAnsi" w:eastAsiaTheme="majorEastAsia" w:hAnsiTheme="majorHAnsi" w:cstheme="majorBidi"/>
      <w:color w:val="1F3763" w:themeColor="accent1" w:themeShade="7F"/>
      <w:sz w:val="24"/>
      <w:szCs w:val="24"/>
    </w:rPr>
  </w:style>
  <w:style w:type="table" w:styleId="Reatabula">
    <w:name w:val="Table Grid"/>
    <w:basedOn w:val="Parastatabula"/>
    <w:uiPriority w:val="39"/>
    <w:rsid w:val="00CD3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31">
    <w:name w:val="List Table 4 - Accent 31"/>
    <w:basedOn w:val="Parastatabula"/>
    <w:uiPriority w:val="49"/>
    <w:rsid w:val="00582B4B"/>
    <w:pPr>
      <w:spacing w:after="0" w:line="240" w:lineRule="auto"/>
    </w:pPr>
    <w:rPr>
      <w:sz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Parakstszemobjekta">
    <w:name w:val="caption"/>
    <w:basedOn w:val="Parasts"/>
    <w:next w:val="Parasts"/>
    <w:uiPriority w:val="35"/>
    <w:unhideWhenUsed/>
    <w:qFormat/>
    <w:rsid w:val="00CD3272"/>
    <w:pPr>
      <w:spacing w:after="200" w:line="240" w:lineRule="auto"/>
    </w:pPr>
    <w:rPr>
      <w:i/>
      <w:iCs/>
      <w:color w:val="44546A" w:themeColor="text2"/>
      <w:sz w:val="18"/>
      <w:szCs w:val="18"/>
    </w:rPr>
  </w:style>
  <w:style w:type="paragraph" w:styleId="Bezatstarpm">
    <w:name w:val="No Spacing"/>
    <w:link w:val="BezatstarpmRakstz"/>
    <w:uiPriority w:val="1"/>
    <w:qFormat/>
    <w:rsid w:val="00353447"/>
    <w:pPr>
      <w:spacing w:after="0" w:line="240" w:lineRule="auto"/>
      <w:ind w:firstLine="720"/>
    </w:pPr>
  </w:style>
  <w:style w:type="paragraph" w:styleId="Sarakstarindkopa">
    <w:name w:val="List Paragraph"/>
    <w:aliases w:val="H&amp;P List Paragraph,Strip,Colorful List - Accent 12,2,Normal bullet 2,Bullet list,Syle 1,PPS_Bullet,Saistīto dokumentu saraksts,Numurets,Table of contents numbered,Citation List,Virsraksti,List Paragraph1,Bullet EY,ERP-List Paragraph"/>
    <w:basedOn w:val="Parasts"/>
    <w:link w:val="SarakstarindkopaRakstz"/>
    <w:qFormat/>
    <w:rsid w:val="0015684B"/>
    <w:pPr>
      <w:ind w:left="720"/>
      <w:contextualSpacing/>
    </w:pPr>
  </w:style>
  <w:style w:type="character" w:styleId="Vietturateksts">
    <w:name w:val="Placeholder Text"/>
    <w:basedOn w:val="Noklusjumarindkopasfonts"/>
    <w:uiPriority w:val="99"/>
    <w:semiHidden/>
    <w:rsid w:val="00DB365E"/>
    <w:rPr>
      <w:color w:val="808080"/>
    </w:rPr>
  </w:style>
  <w:style w:type="paragraph" w:styleId="Vresteksts">
    <w:name w:val="footnote text"/>
    <w:basedOn w:val="Parasts"/>
    <w:link w:val="VrestekstsRakstz"/>
    <w:uiPriority w:val="99"/>
    <w:semiHidden/>
    <w:unhideWhenUsed/>
    <w:rsid w:val="00505AF8"/>
    <w:pPr>
      <w:spacing w:line="240" w:lineRule="auto"/>
    </w:pPr>
    <w:rPr>
      <w:sz w:val="20"/>
      <w:szCs w:val="20"/>
    </w:rPr>
  </w:style>
  <w:style w:type="character" w:customStyle="1" w:styleId="VrestekstsRakstz">
    <w:name w:val="Vēres teksts Rakstz."/>
    <w:basedOn w:val="Noklusjumarindkopasfonts"/>
    <w:link w:val="Vresteksts"/>
    <w:uiPriority w:val="99"/>
    <w:semiHidden/>
    <w:rsid w:val="00505AF8"/>
    <w:rPr>
      <w:sz w:val="20"/>
      <w:szCs w:val="20"/>
    </w:rPr>
  </w:style>
  <w:style w:type="character" w:styleId="Vresatsauce">
    <w:name w:val="footnote reference"/>
    <w:basedOn w:val="Noklusjumarindkopasfonts"/>
    <w:uiPriority w:val="99"/>
    <w:semiHidden/>
    <w:unhideWhenUsed/>
    <w:rsid w:val="00505AF8"/>
    <w:rPr>
      <w:vertAlign w:val="superscript"/>
    </w:rPr>
  </w:style>
  <w:style w:type="character" w:styleId="Hipersaite">
    <w:name w:val="Hyperlink"/>
    <w:basedOn w:val="Noklusjumarindkopasfonts"/>
    <w:uiPriority w:val="99"/>
    <w:unhideWhenUsed/>
    <w:rsid w:val="00505AF8"/>
    <w:rPr>
      <w:color w:val="0563C1" w:themeColor="hyperlink"/>
      <w:u w:val="single"/>
    </w:rPr>
  </w:style>
  <w:style w:type="character" w:styleId="Intensvsizclums">
    <w:name w:val="Intense Emphasis"/>
    <w:basedOn w:val="Noklusjumarindkopasfonts"/>
    <w:uiPriority w:val="21"/>
    <w:qFormat/>
    <w:rsid w:val="00DD573C"/>
    <w:rPr>
      <w:b/>
      <w:bCs/>
      <w:i/>
      <w:iCs/>
      <w:color w:val="4472C4" w:themeColor="accent1"/>
    </w:rPr>
  </w:style>
  <w:style w:type="character" w:customStyle="1" w:styleId="BezatstarpmRakstz">
    <w:name w:val="Bez atstarpēm Rakstz."/>
    <w:basedOn w:val="Noklusjumarindkopasfonts"/>
    <w:link w:val="Bezatstarpm"/>
    <w:uiPriority w:val="1"/>
    <w:rsid w:val="00FA5E82"/>
  </w:style>
  <w:style w:type="paragraph" w:styleId="Galvene">
    <w:name w:val="header"/>
    <w:basedOn w:val="Parasts"/>
    <w:link w:val="GalveneRakstz"/>
    <w:uiPriority w:val="99"/>
    <w:unhideWhenUsed/>
    <w:rsid w:val="0091405E"/>
    <w:pPr>
      <w:tabs>
        <w:tab w:val="center" w:pos="4513"/>
        <w:tab w:val="right" w:pos="9026"/>
      </w:tabs>
      <w:spacing w:line="240" w:lineRule="auto"/>
    </w:pPr>
  </w:style>
  <w:style w:type="character" w:customStyle="1" w:styleId="GalveneRakstz">
    <w:name w:val="Galvene Rakstz."/>
    <w:basedOn w:val="Noklusjumarindkopasfonts"/>
    <w:link w:val="Galvene"/>
    <w:uiPriority w:val="99"/>
    <w:rsid w:val="0091405E"/>
  </w:style>
  <w:style w:type="paragraph" w:styleId="Kjene">
    <w:name w:val="footer"/>
    <w:basedOn w:val="Parasts"/>
    <w:link w:val="KjeneRakstz"/>
    <w:uiPriority w:val="99"/>
    <w:unhideWhenUsed/>
    <w:rsid w:val="0091405E"/>
    <w:pPr>
      <w:tabs>
        <w:tab w:val="center" w:pos="4513"/>
        <w:tab w:val="right" w:pos="9026"/>
      </w:tabs>
      <w:spacing w:line="240" w:lineRule="auto"/>
    </w:pPr>
  </w:style>
  <w:style w:type="character" w:customStyle="1" w:styleId="KjeneRakstz">
    <w:name w:val="Kājene Rakstz."/>
    <w:basedOn w:val="Noklusjumarindkopasfonts"/>
    <w:link w:val="Kjene"/>
    <w:uiPriority w:val="99"/>
    <w:rsid w:val="0091405E"/>
  </w:style>
  <w:style w:type="table" w:styleId="Reatabula2">
    <w:name w:val="Grid Table 2"/>
    <w:basedOn w:val="Parastatabula"/>
    <w:uiPriority w:val="47"/>
    <w:rsid w:val="00C815B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eatabula1gaia">
    <w:name w:val="Grid Table 1 Light"/>
    <w:basedOn w:val="Parastatabula"/>
    <w:uiPriority w:val="46"/>
    <w:rsid w:val="00C815B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31">
    <w:name w:val="Grid Table 31"/>
    <w:basedOn w:val="Parastatabula"/>
    <w:uiPriority w:val="48"/>
    <w:rsid w:val="0036225E"/>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Saturardtjavirsraksts">
    <w:name w:val="TOC Heading"/>
    <w:basedOn w:val="Virsraksts1"/>
    <w:next w:val="Parasts"/>
    <w:uiPriority w:val="39"/>
    <w:unhideWhenUsed/>
    <w:qFormat/>
    <w:rsid w:val="00A617AF"/>
    <w:pPr>
      <w:spacing w:line="259" w:lineRule="auto"/>
      <w:outlineLvl w:val="9"/>
    </w:pPr>
    <w:rPr>
      <w:lang w:eastAsia="lv-LV"/>
    </w:rPr>
  </w:style>
  <w:style w:type="paragraph" w:styleId="Saturs1">
    <w:name w:val="toc 1"/>
    <w:basedOn w:val="Parasts"/>
    <w:next w:val="Parasts"/>
    <w:autoRedefine/>
    <w:uiPriority w:val="39"/>
    <w:unhideWhenUsed/>
    <w:rsid w:val="00065073"/>
    <w:pPr>
      <w:tabs>
        <w:tab w:val="right" w:leader="dot" w:pos="9017"/>
      </w:tabs>
      <w:spacing w:after="100" w:line="240" w:lineRule="auto"/>
    </w:pPr>
  </w:style>
  <w:style w:type="paragraph" w:styleId="Saturs2">
    <w:name w:val="toc 2"/>
    <w:basedOn w:val="Parasts"/>
    <w:next w:val="Parasts"/>
    <w:autoRedefine/>
    <w:uiPriority w:val="39"/>
    <w:unhideWhenUsed/>
    <w:rsid w:val="00A617AF"/>
    <w:pPr>
      <w:spacing w:after="100"/>
      <w:ind w:left="220"/>
    </w:pPr>
  </w:style>
  <w:style w:type="paragraph" w:styleId="Saturs3">
    <w:name w:val="toc 3"/>
    <w:basedOn w:val="Parasts"/>
    <w:next w:val="Parasts"/>
    <w:autoRedefine/>
    <w:uiPriority w:val="39"/>
    <w:unhideWhenUsed/>
    <w:rsid w:val="00A617AF"/>
    <w:pPr>
      <w:spacing w:after="100"/>
      <w:ind w:left="440"/>
    </w:pPr>
  </w:style>
  <w:style w:type="character" w:styleId="Komentraatsauce">
    <w:name w:val="annotation reference"/>
    <w:basedOn w:val="Noklusjumarindkopasfonts"/>
    <w:uiPriority w:val="99"/>
    <w:semiHidden/>
    <w:unhideWhenUsed/>
    <w:rsid w:val="004713AC"/>
    <w:rPr>
      <w:sz w:val="16"/>
      <w:szCs w:val="16"/>
    </w:rPr>
  </w:style>
  <w:style w:type="paragraph" w:styleId="Komentrateksts">
    <w:name w:val="annotation text"/>
    <w:basedOn w:val="Parasts"/>
    <w:link w:val="KomentratekstsRakstz"/>
    <w:uiPriority w:val="99"/>
    <w:unhideWhenUsed/>
    <w:rsid w:val="004713AC"/>
    <w:pPr>
      <w:spacing w:line="240" w:lineRule="auto"/>
    </w:pPr>
    <w:rPr>
      <w:sz w:val="20"/>
      <w:szCs w:val="20"/>
    </w:rPr>
  </w:style>
  <w:style w:type="character" w:customStyle="1" w:styleId="KomentratekstsRakstz">
    <w:name w:val="Komentāra teksts Rakstz."/>
    <w:basedOn w:val="Noklusjumarindkopasfonts"/>
    <w:link w:val="Komentrateksts"/>
    <w:uiPriority w:val="99"/>
    <w:rsid w:val="004713AC"/>
    <w:rPr>
      <w:sz w:val="20"/>
      <w:szCs w:val="20"/>
    </w:rPr>
  </w:style>
  <w:style w:type="paragraph" w:styleId="Komentratma">
    <w:name w:val="annotation subject"/>
    <w:basedOn w:val="Komentrateksts"/>
    <w:next w:val="Komentrateksts"/>
    <w:link w:val="KomentratmaRakstz"/>
    <w:uiPriority w:val="99"/>
    <w:semiHidden/>
    <w:unhideWhenUsed/>
    <w:rsid w:val="004713AC"/>
    <w:rPr>
      <w:b/>
      <w:bCs/>
    </w:rPr>
  </w:style>
  <w:style w:type="character" w:customStyle="1" w:styleId="KomentratmaRakstz">
    <w:name w:val="Komentāra tēma Rakstz."/>
    <w:basedOn w:val="KomentratekstsRakstz"/>
    <w:link w:val="Komentratma"/>
    <w:uiPriority w:val="99"/>
    <w:semiHidden/>
    <w:rsid w:val="004713AC"/>
    <w:rPr>
      <w:b/>
      <w:bCs/>
      <w:sz w:val="20"/>
      <w:szCs w:val="20"/>
    </w:rPr>
  </w:style>
  <w:style w:type="character" w:customStyle="1" w:styleId="Virsraksts4Rakstz">
    <w:name w:val="Virsraksts 4 Rakstz."/>
    <w:basedOn w:val="Noklusjumarindkopasfonts"/>
    <w:link w:val="Virsraksts4"/>
    <w:uiPriority w:val="9"/>
    <w:rsid w:val="00506186"/>
    <w:rPr>
      <w:rFonts w:asciiTheme="majorHAnsi" w:eastAsiaTheme="majorEastAsia" w:hAnsiTheme="majorHAnsi" w:cstheme="majorBidi"/>
      <w:i/>
      <w:iCs/>
      <w:color w:val="2F5496" w:themeColor="accent1" w:themeShade="BF"/>
    </w:rPr>
  </w:style>
  <w:style w:type="table" w:styleId="Reatabula3">
    <w:name w:val="Grid Table 3"/>
    <w:basedOn w:val="Parastatabula"/>
    <w:uiPriority w:val="48"/>
    <w:rsid w:val="0099019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Default">
    <w:name w:val="Default"/>
    <w:rsid w:val="003F6B25"/>
    <w:pPr>
      <w:autoSpaceDE w:val="0"/>
      <w:autoSpaceDN w:val="0"/>
      <w:adjustRightInd w:val="0"/>
      <w:spacing w:after="0" w:line="240" w:lineRule="auto"/>
    </w:pPr>
    <w:rPr>
      <w:rFonts w:ascii="Arial" w:hAnsi="Arial" w:cs="Arial"/>
      <w:color w:val="000000"/>
      <w:sz w:val="24"/>
      <w:szCs w:val="24"/>
    </w:rPr>
  </w:style>
  <w:style w:type="character" w:styleId="Izmantotahipersaite">
    <w:name w:val="FollowedHyperlink"/>
    <w:basedOn w:val="Noklusjumarindkopasfonts"/>
    <w:uiPriority w:val="99"/>
    <w:semiHidden/>
    <w:unhideWhenUsed/>
    <w:rsid w:val="002419B4"/>
    <w:rPr>
      <w:color w:val="954F72" w:themeColor="followedHyperlink"/>
      <w:u w:val="single"/>
    </w:rPr>
  </w:style>
  <w:style w:type="table" w:styleId="Vienkratabula2">
    <w:name w:val="Plain Table 2"/>
    <w:basedOn w:val="Parastatabula"/>
    <w:uiPriority w:val="42"/>
    <w:rsid w:val="00B21C2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Reatabula1gaia-izclums1">
    <w:name w:val="Grid Table 1 Light Accent 1"/>
    <w:basedOn w:val="Parastatabula"/>
    <w:uiPriority w:val="46"/>
    <w:rsid w:val="00874BD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Neatrisintapieminana">
    <w:name w:val="Unresolved Mention"/>
    <w:basedOn w:val="Noklusjumarindkopasfonts"/>
    <w:uiPriority w:val="99"/>
    <w:semiHidden/>
    <w:unhideWhenUsed/>
    <w:rsid w:val="00A27EEC"/>
    <w:rPr>
      <w:color w:val="605E5C"/>
      <w:shd w:val="clear" w:color="auto" w:fill="E1DFDD"/>
    </w:rPr>
  </w:style>
  <w:style w:type="table" w:styleId="Vienkratabula3">
    <w:name w:val="Plain Table 3"/>
    <w:basedOn w:val="Parastatabula"/>
    <w:uiPriority w:val="43"/>
    <w:rsid w:val="004E0FE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Vienkratabula5">
    <w:name w:val="Plain Table 5"/>
    <w:basedOn w:val="Parastatabula"/>
    <w:uiPriority w:val="45"/>
    <w:rsid w:val="006E644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arakstarindkopaRakstz">
    <w:name w:val="Saraksta rindkopa Rakstz."/>
    <w:aliases w:val="H&amp;P List Paragraph Rakstz.,Strip Rakstz.,Colorful List - Accent 12 Rakstz.,2 Rakstz.,Normal bullet 2 Rakstz.,Bullet list Rakstz.,Syle 1 Rakstz.,PPS_Bullet Rakstz.,Saistīto dokumentu saraksts Rakstz.,Numurets Rakstz."/>
    <w:link w:val="Sarakstarindkopa"/>
    <w:qFormat/>
    <w:rsid w:val="0000289B"/>
  </w:style>
  <w:style w:type="paragraph" w:styleId="Paraststmeklis">
    <w:name w:val="Normal (Web)"/>
    <w:basedOn w:val="Parasts"/>
    <w:uiPriority w:val="99"/>
    <w:semiHidden/>
    <w:unhideWhenUsed/>
    <w:rsid w:val="001738A3"/>
    <w:pPr>
      <w:spacing w:before="100" w:beforeAutospacing="1" w:after="100" w:afterAutospacing="1" w:line="240" w:lineRule="auto"/>
      <w:ind w:firstLine="0"/>
      <w:jc w:val="left"/>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5772">
      <w:bodyDiv w:val="1"/>
      <w:marLeft w:val="0"/>
      <w:marRight w:val="0"/>
      <w:marTop w:val="0"/>
      <w:marBottom w:val="0"/>
      <w:divBdr>
        <w:top w:val="none" w:sz="0" w:space="0" w:color="auto"/>
        <w:left w:val="none" w:sz="0" w:space="0" w:color="auto"/>
        <w:bottom w:val="none" w:sz="0" w:space="0" w:color="auto"/>
        <w:right w:val="none" w:sz="0" w:space="0" w:color="auto"/>
      </w:divBdr>
    </w:div>
    <w:div w:id="30302341">
      <w:bodyDiv w:val="1"/>
      <w:marLeft w:val="0"/>
      <w:marRight w:val="0"/>
      <w:marTop w:val="0"/>
      <w:marBottom w:val="0"/>
      <w:divBdr>
        <w:top w:val="none" w:sz="0" w:space="0" w:color="auto"/>
        <w:left w:val="none" w:sz="0" w:space="0" w:color="auto"/>
        <w:bottom w:val="none" w:sz="0" w:space="0" w:color="auto"/>
        <w:right w:val="none" w:sz="0" w:space="0" w:color="auto"/>
      </w:divBdr>
    </w:div>
    <w:div w:id="51466965">
      <w:bodyDiv w:val="1"/>
      <w:marLeft w:val="0"/>
      <w:marRight w:val="0"/>
      <w:marTop w:val="0"/>
      <w:marBottom w:val="0"/>
      <w:divBdr>
        <w:top w:val="none" w:sz="0" w:space="0" w:color="auto"/>
        <w:left w:val="none" w:sz="0" w:space="0" w:color="auto"/>
        <w:bottom w:val="none" w:sz="0" w:space="0" w:color="auto"/>
        <w:right w:val="none" w:sz="0" w:space="0" w:color="auto"/>
      </w:divBdr>
    </w:div>
    <w:div w:id="79299615">
      <w:bodyDiv w:val="1"/>
      <w:marLeft w:val="0"/>
      <w:marRight w:val="0"/>
      <w:marTop w:val="0"/>
      <w:marBottom w:val="0"/>
      <w:divBdr>
        <w:top w:val="none" w:sz="0" w:space="0" w:color="auto"/>
        <w:left w:val="none" w:sz="0" w:space="0" w:color="auto"/>
        <w:bottom w:val="none" w:sz="0" w:space="0" w:color="auto"/>
        <w:right w:val="none" w:sz="0" w:space="0" w:color="auto"/>
      </w:divBdr>
    </w:div>
    <w:div w:id="141971169">
      <w:bodyDiv w:val="1"/>
      <w:marLeft w:val="0"/>
      <w:marRight w:val="0"/>
      <w:marTop w:val="0"/>
      <w:marBottom w:val="0"/>
      <w:divBdr>
        <w:top w:val="none" w:sz="0" w:space="0" w:color="auto"/>
        <w:left w:val="none" w:sz="0" w:space="0" w:color="auto"/>
        <w:bottom w:val="none" w:sz="0" w:space="0" w:color="auto"/>
        <w:right w:val="none" w:sz="0" w:space="0" w:color="auto"/>
      </w:divBdr>
    </w:div>
    <w:div w:id="166334548">
      <w:bodyDiv w:val="1"/>
      <w:marLeft w:val="0"/>
      <w:marRight w:val="0"/>
      <w:marTop w:val="0"/>
      <w:marBottom w:val="0"/>
      <w:divBdr>
        <w:top w:val="none" w:sz="0" w:space="0" w:color="auto"/>
        <w:left w:val="none" w:sz="0" w:space="0" w:color="auto"/>
        <w:bottom w:val="none" w:sz="0" w:space="0" w:color="auto"/>
        <w:right w:val="none" w:sz="0" w:space="0" w:color="auto"/>
      </w:divBdr>
    </w:div>
    <w:div w:id="231044441">
      <w:bodyDiv w:val="1"/>
      <w:marLeft w:val="0"/>
      <w:marRight w:val="0"/>
      <w:marTop w:val="0"/>
      <w:marBottom w:val="0"/>
      <w:divBdr>
        <w:top w:val="none" w:sz="0" w:space="0" w:color="auto"/>
        <w:left w:val="none" w:sz="0" w:space="0" w:color="auto"/>
        <w:bottom w:val="none" w:sz="0" w:space="0" w:color="auto"/>
        <w:right w:val="none" w:sz="0" w:space="0" w:color="auto"/>
      </w:divBdr>
    </w:div>
    <w:div w:id="300886092">
      <w:bodyDiv w:val="1"/>
      <w:marLeft w:val="0"/>
      <w:marRight w:val="0"/>
      <w:marTop w:val="0"/>
      <w:marBottom w:val="0"/>
      <w:divBdr>
        <w:top w:val="none" w:sz="0" w:space="0" w:color="auto"/>
        <w:left w:val="none" w:sz="0" w:space="0" w:color="auto"/>
        <w:bottom w:val="none" w:sz="0" w:space="0" w:color="auto"/>
        <w:right w:val="none" w:sz="0" w:space="0" w:color="auto"/>
      </w:divBdr>
    </w:div>
    <w:div w:id="361369991">
      <w:bodyDiv w:val="1"/>
      <w:marLeft w:val="0"/>
      <w:marRight w:val="0"/>
      <w:marTop w:val="0"/>
      <w:marBottom w:val="0"/>
      <w:divBdr>
        <w:top w:val="none" w:sz="0" w:space="0" w:color="auto"/>
        <w:left w:val="none" w:sz="0" w:space="0" w:color="auto"/>
        <w:bottom w:val="none" w:sz="0" w:space="0" w:color="auto"/>
        <w:right w:val="none" w:sz="0" w:space="0" w:color="auto"/>
      </w:divBdr>
    </w:div>
    <w:div w:id="378749876">
      <w:bodyDiv w:val="1"/>
      <w:marLeft w:val="0"/>
      <w:marRight w:val="0"/>
      <w:marTop w:val="0"/>
      <w:marBottom w:val="0"/>
      <w:divBdr>
        <w:top w:val="none" w:sz="0" w:space="0" w:color="auto"/>
        <w:left w:val="none" w:sz="0" w:space="0" w:color="auto"/>
        <w:bottom w:val="none" w:sz="0" w:space="0" w:color="auto"/>
        <w:right w:val="none" w:sz="0" w:space="0" w:color="auto"/>
      </w:divBdr>
    </w:div>
    <w:div w:id="381292394">
      <w:bodyDiv w:val="1"/>
      <w:marLeft w:val="0"/>
      <w:marRight w:val="0"/>
      <w:marTop w:val="0"/>
      <w:marBottom w:val="0"/>
      <w:divBdr>
        <w:top w:val="none" w:sz="0" w:space="0" w:color="auto"/>
        <w:left w:val="none" w:sz="0" w:space="0" w:color="auto"/>
        <w:bottom w:val="none" w:sz="0" w:space="0" w:color="auto"/>
        <w:right w:val="none" w:sz="0" w:space="0" w:color="auto"/>
      </w:divBdr>
    </w:div>
    <w:div w:id="402874274">
      <w:bodyDiv w:val="1"/>
      <w:marLeft w:val="0"/>
      <w:marRight w:val="0"/>
      <w:marTop w:val="0"/>
      <w:marBottom w:val="0"/>
      <w:divBdr>
        <w:top w:val="none" w:sz="0" w:space="0" w:color="auto"/>
        <w:left w:val="none" w:sz="0" w:space="0" w:color="auto"/>
        <w:bottom w:val="none" w:sz="0" w:space="0" w:color="auto"/>
        <w:right w:val="none" w:sz="0" w:space="0" w:color="auto"/>
      </w:divBdr>
    </w:div>
    <w:div w:id="418603298">
      <w:bodyDiv w:val="1"/>
      <w:marLeft w:val="0"/>
      <w:marRight w:val="0"/>
      <w:marTop w:val="0"/>
      <w:marBottom w:val="0"/>
      <w:divBdr>
        <w:top w:val="none" w:sz="0" w:space="0" w:color="auto"/>
        <w:left w:val="none" w:sz="0" w:space="0" w:color="auto"/>
        <w:bottom w:val="none" w:sz="0" w:space="0" w:color="auto"/>
        <w:right w:val="none" w:sz="0" w:space="0" w:color="auto"/>
      </w:divBdr>
    </w:div>
    <w:div w:id="525291661">
      <w:bodyDiv w:val="1"/>
      <w:marLeft w:val="0"/>
      <w:marRight w:val="0"/>
      <w:marTop w:val="0"/>
      <w:marBottom w:val="0"/>
      <w:divBdr>
        <w:top w:val="none" w:sz="0" w:space="0" w:color="auto"/>
        <w:left w:val="none" w:sz="0" w:space="0" w:color="auto"/>
        <w:bottom w:val="none" w:sz="0" w:space="0" w:color="auto"/>
        <w:right w:val="none" w:sz="0" w:space="0" w:color="auto"/>
      </w:divBdr>
    </w:div>
    <w:div w:id="527106595">
      <w:bodyDiv w:val="1"/>
      <w:marLeft w:val="0"/>
      <w:marRight w:val="0"/>
      <w:marTop w:val="0"/>
      <w:marBottom w:val="0"/>
      <w:divBdr>
        <w:top w:val="none" w:sz="0" w:space="0" w:color="auto"/>
        <w:left w:val="none" w:sz="0" w:space="0" w:color="auto"/>
        <w:bottom w:val="none" w:sz="0" w:space="0" w:color="auto"/>
        <w:right w:val="none" w:sz="0" w:space="0" w:color="auto"/>
      </w:divBdr>
    </w:div>
    <w:div w:id="617222021">
      <w:bodyDiv w:val="1"/>
      <w:marLeft w:val="0"/>
      <w:marRight w:val="0"/>
      <w:marTop w:val="0"/>
      <w:marBottom w:val="0"/>
      <w:divBdr>
        <w:top w:val="none" w:sz="0" w:space="0" w:color="auto"/>
        <w:left w:val="none" w:sz="0" w:space="0" w:color="auto"/>
        <w:bottom w:val="none" w:sz="0" w:space="0" w:color="auto"/>
        <w:right w:val="none" w:sz="0" w:space="0" w:color="auto"/>
      </w:divBdr>
      <w:divsChild>
        <w:div w:id="1968319484">
          <w:marLeft w:val="0"/>
          <w:marRight w:val="0"/>
          <w:marTop w:val="0"/>
          <w:marBottom w:val="0"/>
          <w:divBdr>
            <w:top w:val="none" w:sz="0" w:space="0" w:color="auto"/>
            <w:left w:val="none" w:sz="0" w:space="0" w:color="auto"/>
            <w:bottom w:val="none" w:sz="0" w:space="0" w:color="auto"/>
            <w:right w:val="none" w:sz="0" w:space="0" w:color="auto"/>
          </w:divBdr>
          <w:divsChild>
            <w:div w:id="2121950343">
              <w:marLeft w:val="0"/>
              <w:marRight w:val="0"/>
              <w:marTop w:val="0"/>
              <w:marBottom w:val="0"/>
              <w:divBdr>
                <w:top w:val="none" w:sz="0" w:space="0" w:color="auto"/>
                <w:left w:val="none" w:sz="0" w:space="0" w:color="auto"/>
                <w:bottom w:val="none" w:sz="0" w:space="0" w:color="auto"/>
                <w:right w:val="none" w:sz="0" w:space="0" w:color="auto"/>
              </w:divBdr>
              <w:divsChild>
                <w:div w:id="1802309973">
                  <w:marLeft w:val="0"/>
                  <w:marRight w:val="0"/>
                  <w:marTop w:val="0"/>
                  <w:marBottom w:val="0"/>
                  <w:divBdr>
                    <w:top w:val="none" w:sz="0" w:space="0" w:color="auto"/>
                    <w:left w:val="none" w:sz="0" w:space="0" w:color="auto"/>
                    <w:bottom w:val="none" w:sz="0" w:space="0" w:color="auto"/>
                    <w:right w:val="none" w:sz="0" w:space="0" w:color="auto"/>
                  </w:divBdr>
                </w:div>
              </w:divsChild>
            </w:div>
            <w:div w:id="73558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044779">
      <w:bodyDiv w:val="1"/>
      <w:marLeft w:val="0"/>
      <w:marRight w:val="0"/>
      <w:marTop w:val="0"/>
      <w:marBottom w:val="0"/>
      <w:divBdr>
        <w:top w:val="none" w:sz="0" w:space="0" w:color="auto"/>
        <w:left w:val="none" w:sz="0" w:space="0" w:color="auto"/>
        <w:bottom w:val="none" w:sz="0" w:space="0" w:color="auto"/>
        <w:right w:val="none" w:sz="0" w:space="0" w:color="auto"/>
      </w:divBdr>
    </w:div>
    <w:div w:id="739837833">
      <w:bodyDiv w:val="1"/>
      <w:marLeft w:val="0"/>
      <w:marRight w:val="0"/>
      <w:marTop w:val="0"/>
      <w:marBottom w:val="0"/>
      <w:divBdr>
        <w:top w:val="none" w:sz="0" w:space="0" w:color="auto"/>
        <w:left w:val="none" w:sz="0" w:space="0" w:color="auto"/>
        <w:bottom w:val="none" w:sz="0" w:space="0" w:color="auto"/>
        <w:right w:val="none" w:sz="0" w:space="0" w:color="auto"/>
      </w:divBdr>
    </w:div>
    <w:div w:id="747775835">
      <w:bodyDiv w:val="1"/>
      <w:marLeft w:val="0"/>
      <w:marRight w:val="0"/>
      <w:marTop w:val="0"/>
      <w:marBottom w:val="0"/>
      <w:divBdr>
        <w:top w:val="none" w:sz="0" w:space="0" w:color="auto"/>
        <w:left w:val="none" w:sz="0" w:space="0" w:color="auto"/>
        <w:bottom w:val="none" w:sz="0" w:space="0" w:color="auto"/>
        <w:right w:val="none" w:sz="0" w:space="0" w:color="auto"/>
      </w:divBdr>
    </w:div>
    <w:div w:id="750732568">
      <w:bodyDiv w:val="1"/>
      <w:marLeft w:val="0"/>
      <w:marRight w:val="0"/>
      <w:marTop w:val="0"/>
      <w:marBottom w:val="0"/>
      <w:divBdr>
        <w:top w:val="none" w:sz="0" w:space="0" w:color="auto"/>
        <w:left w:val="none" w:sz="0" w:space="0" w:color="auto"/>
        <w:bottom w:val="none" w:sz="0" w:space="0" w:color="auto"/>
        <w:right w:val="none" w:sz="0" w:space="0" w:color="auto"/>
      </w:divBdr>
    </w:div>
    <w:div w:id="776481558">
      <w:bodyDiv w:val="1"/>
      <w:marLeft w:val="0"/>
      <w:marRight w:val="0"/>
      <w:marTop w:val="0"/>
      <w:marBottom w:val="0"/>
      <w:divBdr>
        <w:top w:val="none" w:sz="0" w:space="0" w:color="auto"/>
        <w:left w:val="none" w:sz="0" w:space="0" w:color="auto"/>
        <w:bottom w:val="none" w:sz="0" w:space="0" w:color="auto"/>
        <w:right w:val="none" w:sz="0" w:space="0" w:color="auto"/>
      </w:divBdr>
    </w:div>
    <w:div w:id="801733065">
      <w:bodyDiv w:val="1"/>
      <w:marLeft w:val="0"/>
      <w:marRight w:val="0"/>
      <w:marTop w:val="0"/>
      <w:marBottom w:val="0"/>
      <w:divBdr>
        <w:top w:val="none" w:sz="0" w:space="0" w:color="auto"/>
        <w:left w:val="none" w:sz="0" w:space="0" w:color="auto"/>
        <w:bottom w:val="none" w:sz="0" w:space="0" w:color="auto"/>
        <w:right w:val="none" w:sz="0" w:space="0" w:color="auto"/>
      </w:divBdr>
    </w:div>
    <w:div w:id="822890057">
      <w:bodyDiv w:val="1"/>
      <w:marLeft w:val="0"/>
      <w:marRight w:val="0"/>
      <w:marTop w:val="0"/>
      <w:marBottom w:val="0"/>
      <w:divBdr>
        <w:top w:val="none" w:sz="0" w:space="0" w:color="auto"/>
        <w:left w:val="none" w:sz="0" w:space="0" w:color="auto"/>
        <w:bottom w:val="none" w:sz="0" w:space="0" w:color="auto"/>
        <w:right w:val="none" w:sz="0" w:space="0" w:color="auto"/>
      </w:divBdr>
    </w:div>
    <w:div w:id="825247189">
      <w:bodyDiv w:val="1"/>
      <w:marLeft w:val="0"/>
      <w:marRight w:val="0"/>
      <w:marTop w:val="0"/>
      <w:marBottom w:val="0"/>
      <w:divBdr>
        <w:top w:val="none" w:sz="0" w:space="0" w:color="auto"/>
        <w:left w:val="none" w:sz="0" w:space="0" w:color="auto"/>
        <w:bottom w:val="none" w:sz="0" w:space="0" w:color="auto"/>
        <w:right w:val="none" w:sz="0" w:space="0" w:color="auto"/>
      </w:divBdr>
    </w:div>
    <w:div w:id="827553735">
      <w:bodyDiv w:val="1"/>
      <w:marLeft w:val="0"/>
      <w:marRight w:val="0"/>
      <w:marTop w:val="0"/>
      <w:marBottom w:val="0"/>
      <w:divBdr>
        <w:top w:val="none" w:sz="0" w:space="0" w:color="auto"/>
        <w:left w:val="none" w:sz="0" w:space="0" w:color="auto"/>
        <w:bottom w:val="none" w:sz="0" w:space="0" w:color="auto"/>
        <w:right w:val="none" w:sz="0" w:space="0" w:color="auto"/>
      </w:divBdr>
    </w:div>
    <w:div w:id="877278155">
      <w:bodyDiv w:val="1"/>
      <w:marLeft w:val="0"/>
      <w:marRight w:val="0"/>
      <w:marTop w:val="0"/>
      <w:marBottom w:val="0"/>
      <w:divBdr>
        <w:top w:val="none" w:sz="0" w:space="0" w:color="auto"/>
        <w:left w:val="none" w:sz="0" w:space="0" w:color="auto"/>
        <w:bottom w:val="none" w:sz="0" w:space="0" w:color="auto"/>
        <w:right w:val="none" w:sz="0" w:space="0" w:color="auto"/>
      </w:divBdr>
    </w:div>
    <w:div w:id="880092123">
      <w:bodyDiv w:val="1"/>
      <w:marLeft w:val="0"/>
      <w:marRight w:val="0"/>
      <w:marTop w:val="0"/>
      <w:marBottom w:val="0"/>
      <w:divBdr>
        <w:top w:val="none" w:sz="0" w:space="0" w:color="auto"/>
        <w:left w:val="none" w:sz="0" w:space="0" w:color="auto"/>
        <w:bottom w:val="none" w:sz="0" w:space="0" w:color="auto"/>
        <w:right w:val="none" w:sz="0" w:space="0" w:color="auto"/>
      </w:divBdr>
    </w:div>
    <w:div w:id="929584589">
      <w:bodyDiv w:val="1"/>
      <w:marLeft w:val="0"/>
      <w:marRight w:val="0"/>
      <w:marTop w:val="0"/>
      <w:marBottom w:val="0"/>
      <w:divBdr>
        <w:top w:val="none" w:sz="0" w:space="0" w:color="auto"/>
        <w:left w:val="none" w:sz="0" w:space="0" w:color="auto"/>
        <w:bottom w:val="none" w:sz="0" w:space="0" w:color="auto"/>
        <w:right w:val="none" w:sz="0" w:space="0" w:color="auto"/>
      </w:divBdr>
    </w:div>
    <w:div w:id="940718891">
      <w:bodyDiv w:val="1"/>
      <w:marLeft w:val="0"/>
      <w:marRight w:val="0"/>
      <w:marTop w:val="0"/>
      <w:marBottom w:val="0"/>
      <w:divBdr>
        <w:top w:val="none" w:sz="0" w:space="0" w:color="auto"/>
        <w:left w:val="none" w:sz="0" w:space="0" w:color="auto"/>
        <w:bottom w:val="none" w:sz="0" w:space="0" w:color="auto"/>
        <w:right w:val="none" w:sz="0" w:space="0" w:color="auto"/>
      </w:divBdr>
    </w:div>
    <w:div w:id="1007096501">
      <w:bodyDiv w:val="1"/>
      <w:marLeft w:val="0"/>
      <w:marRight w:val="0"/>
      <w:marTop w:val="0"/>
      <w:marBottom w:val="0"/>
      <w:divBdr>
        <w:top w:val="none" w:sz="0" w:space="0" w:color="auto"/>
        <w:left w:val="none" w:sz="0" w:space="0" w:color="auto"/>
        <w:bottom w:val="none" w:sz="0" w:space="0" w:color="auto"/>
        <w:right w:val="none" w:sz="0" w:space="0" w:color="auto"/>
      </w:divBdr>
    </w:div>
    <w:div w:id="1055467732">
      <w:bodyDiv w:val="1"/>
      <w:marLeft w:val="0"/>
      <w:marRight w:val="0"/>
      <w:marTop w:val="0"/>
      <w:marBottom w:val="0"/>
      <w:divBdr>
        <w:top w:val="none" w:sz="0" w:space="0" w:color="auto"/>
        <w:left w:val="none" w:sz="0" w:space="0" w:color="auto"/>
        <w:bottom w:val="none" w:sz="0" w:space="0" w:color="auto"/>
        <w:right w:val="none" w:sz="0" w:space="0" w:color="auto"/>
      </w:divBdr>
    </w:div>
    <w:div w:id="1074545794">
      <w:bodyDiv w:val="1"/>
      <w:marLeft w:val="0"/>
      <w:marRight w:val="0"/>
      <w:marTop w:val="0"/>
      <w:marBottom w:val="0"/>
      <w:divBdr>
        <w:top w:val="none" w:sz="0" w:space="0" w:color="auto"/>
        <w:left w:val="none" w:sz="0" w:space="0" w:color="auto"/>
        <w:bottom w:val="none" w:sz="0" w:space="0" w:color="auto"/>
        <w:right w:val="none" w:sz="0" w:space="0" w:color="auto"/>
      </w:divBdr>
    </w:div>
    <w:div w:id="1103069089">
      <w:bodyDiv w:val="1"/>
      <w:marLeft w:val="0"/>
      <w:marRight w:val="0"/>
      <w:marTop w:val="0"/>
      <w:marBottom w:val="0"/>
      <w:divBdr>
        <w:top w:val="none" w:sz="0" w:space="0" w:color="auto"/>
        <w:left w:val="none" w:sz="0" w:space="0" w:color="auto"/>
        <w:bottom w:val="none" w:sz="0" w:space="0" w:color="auto"/>
        <w:right w:val="none" w:sz="0" w:space="0" w:color="auto"/>
      </w:divBdr>
    </w:div>
    <w:div w:id="1116412288">
      <w:bodyDiv w:val="1"/>
      <w:marLeft w:val="0"/>
      <w:marRight w:val="0"/>
      <w:marTop w:val="0"/>
      <w:marBottom w:val="0"/>
      <w:divBdr>
        <w:top w:val="none" w:sz="0" w:space="0" w:color="auto"/>
        <w:left w:val="none" w:sz="0" w:space="0" w:color="auto"/>
        <w:bottom w:val="none" w:sz="0" w:space="0" w:color="auto"/>
        <w:right w:val="none" w:sz="0" w:space="0" w:color="auto"/>
      </w:divBdr>
    </w:div>
    <w:div w:id="1177304752">
      <w:bodyDiv w:val="1"/>
      <w:marLeft w:val="0"/>
      <w:marRight w:val="0"/>
      <w:marTop w:val="0"/>
      <w:marBottom w:val="0"/>
      <w:divBdr>
        <w:top w:val="none" w:sz="0" w:space="0" w:color="auto"/>
        <w:left w:val="none" w:sz="0" w:space="0" w:color="auto"/>
        <w:bottom w:val="none" w:sz="0" w:space="0" w:color="auto"/>
        <w:right w:val="none" w:sz="0" w:space="0" w:color="auto"/>
      </w:divBdr>
    </w:div>
    <w:div w:id="1221135696">
      <w:bodyDiv w:val="1"/>
      <w:marLeft w:val="0"/>
      <w:marRight w:val="0"/>
      <w:marTop w:val="0"/>
      <w:marBottom w:val="0"/>
      <w:divBdr>
        <w:top w:val="none" w:sz="0" w:space="0" w:color="auto"/>
        <w:left w:val="none" w:sz="0" w:space="0" w:color="auto"/>
        <w:bottom w:val="none" w:sz="0" w:space="0" w:color="auto"/>
        <w:right w:val="none" w:sz="0" w:space="0" w:color="auto"/>
      </w:divBdr>
    </w:div>
    <w:div w:id="1247885909">
      <w:bodyDiv w:val="1"/>
      <w:marLeft w:val="0"/>
      <w:marRight w:val="0"/>
      <w:marTop w:val="0"/>
      <w:marBottom w:val="0"/>
      <w:divBdr>
        <w:top w:val="none" w:sz="0" w:space="0" w:color="auto"/>
        <w:left w:val="none" w:sz="0" w:space="0" w:color="auto"/>
        <w:bottom w:val="none" w:sz="0" w:space="0" w:color="auto"/>
        <w:right w:val="none" w:sz="0" w:space="0" w:color="auto"/>
      </w:divBdr>
    </w:div>
    <w:div w:id="1335956201">
      <w:bodyDiv w:val="1"/>
      <w:marLeft w:val="0"/>
      <w:marRight w:val="0"/>
      <w:marTop w:val="0"/>
      <w:marBottom w:val="0"/>
      <w:divBdr>
        <w:top w:val="none" w:sz="0" w:space="0" w:color="auto"/>
        <w:left w:val="none" w:sz="0" w:space="0" w:color="auto"/>
        <w:bottom w:val="none" w:sz="0" w:space="0" w:color="auto"/>
        <w:right w:val="none" w:sz="0" w:space="0" w:color="auto"/>
      </w:divBdr>
    </w:div>
    <w:div w:id="1356036008">
      <w:bodyDiv w:val="1"/>
      <w:marLeft w:val="0"/>
      <w:marRight w:val="0"/>
      <w:marTop w:val="0"/>
      <w:marBottom w:val="0"/>
      <w:divBdr>
        <w:top w:val="none" w:sz="0" w:space="0" w:color="auto"/>
        <w:left w:val="none" w:sz="0" w:space="0" w:color="auto"/>
        <w:bottom w:val="none" w:sz="0" w:space="0" w:color="auto"/>
        <w:right w:val="none" w:sz="0" w:space="0" w:color="auto"/>
      </w:divBdr>
    </w:div>
    <w:div w:id="1415710805">
      <w:bodyDiv w:val="1"/>
      <w:marLeft w:val="0"/>
      <w:marRight w:val="0"/>
      <w:marTop w:val="0"/>
      <w:marBottom w:val="0"/>
      <w:divBdr>
        <w:top w:val="none" w:sz="0" w:space="0" w:color="auto"/>
        <w:left w:val="none" w:sz="0" w:space="0" w:color="auto"/>
        <w:bottom w:val="none" w:sz="0" w:space="0" w:color="auto"/>
        <w:right w:val="none" w:sz="0" w:space="0" w:color="auto"/>
      </w:divBdr>
    </w:div>
    <w:div w:id="1441954573">
      <w:bodyDiv w:val="1"/>
      <w:marLeft w:val="0"/>
      <w:marRight w:val="0"/>
      <w:marTop w:val="0"/>
      <w:marBottom w:val="0"/>
      <w:divBdr>
        <w:top w:val="none" w:sz="0" w:space="0" w:color="auto"/>
        <w:left w:val="none" w:sz="0" w:space="0" w:color="auto"/>
        <w:bottom w:val="none" w:sz="0" w:space="0" w:color="auto"/>
        <w:right w:val="none" w:sz="0" w:space="0" w:color="auto"/>
      </w:divBdr>
    </w:div>
    <w:div w:id="1542209766">
      <w:bodyDiv w:val="1"/>
      <w:marLeft w:val="0"/>
      <w:marRight w:val="0"/>
      <w:marTop w:val="0"/>
      <w:marBottom w:val="0"/>
      <w:divBdr>
        <w:top w:val="none" w:sz="0" w:space="0" w:color="auto"/>
        <w:left w:val="none" w:sz="0" w:space="0" w:color="auto"/>
        <w:bottom w:val="none" w:sz="0" w:space="0" w:color="auto"/>
        <w:right w:val="none" w:sz="0" w:space="0" w:color="auto"/>
      </w:divBdr>
    </w:div>
    <w:div w:id="1569880215">
      <w:bodyDiv w:val="1"/>
      <w:marLeft w:val="0"/>
      <w:marRight w:val="0"/>
      <w:marTop w:val="0"/>
      <w:marBottom w:val="0"/>
      <w:divBdr>
        <w:top w:val="none" w:sz="0" w:space="0" w:color="auto"/>
        <w:left w:val="none" w:sz="0" w:space="0" w:color="auto"/>
        <w:bottom w:val="none" w:sz="0" w:space="0" w:color="auto"/>
        <w:right w:val="none" w:sz="0" w:space="0" w:color="auto"/>
      </w:divBdr>
    </w:div>
    <w:div w:id="1623539794">
      <w:bodyDiv w:val="1"/>
      <w:marLeft w:val="0"/>
      <w:marRight w:val="0"/>
      <w:marTop w:val="0"/>
      <w:marBottom w:val="0"/>
      <w:divBdr>
        <w:top w:val="none" w:sz="0" w:space="0" w:color="auto"/>
        <w:left w:val="none" w:sz="0" w:space="0" w:color="auto"/>
        <w:bottom w:val="none" w:sz="0" w:space="0" w:color="auto"/>
        <w:right w:val="none" w:sz="0" w:space="0" w:color="auto"/>
      </w:divBdr>
    </w:div>
    <w:div w:id="1625893131">
      <w:bodyDiv w:val="1"/>
      <w:marLeft w:val="0"/>
      <w:marRight w:val="0"/>
      <w:marTop w:val="0"/>
      <w:marBottom w:val="0"/>
      <w:divBdr>
        <w:top w:val="none" w:sz="0" w:space="0" w:color="auto"/>
        <w:left w:val="none" w:sz="0" w:space="0" w:color="auto"/>
        <w:bottom w:val="none" w:sz="0" w:space="0" w:color="auto"/>
        <w:right w:val="none" w:sz="0" w:space="0" w:color="auto"/>
      </w:divBdr>
    </w:div>
    <w:div w:id="1642417789">
      <w:bodyDiv w:val="1"/>
      <w:marLeft w:val="0"/>
      <w:marRight w:val="0"/>
      <w:marTop w:val="0"/>
      <w:marBottom w:val="0"/>
      <w:divBdr>
        <w:top w:val="none" w:sz="0" w:space="0" w:color="auto"/>
        <w:left w:val="none" w:sz="0" w:space="0" w:color="auto"/>
        <w:bottom w:val="none" w:sz="0" w:space="0" w:color="auto"/>
        <w:right w:val="none" w:sz="0" w:space="0" w:color="auto"/>
      </w:divBdr>
    </w:div>
    <w:div w:id="1657683667">
      <w:bodyDiv w:val="1"/>
      <w:marLeft w:val="0"/>
      <w:marRight w:val="0"/>
      <w:marTop w:val="0"/>
      <w:marBottom w:val="0"/>
      <w:divBdr>
        <w:top w:val="none" w:sz="0" w:space="0" w:color="auto"/>
        <w:left w:val="none" w:sz="0" w:space="0" w:color="auto"/>
        <w:bottom w:val="none" w:sz="0" w:space="0" w:color="auto"/>
        <w:right w:val="none" w:sz="0" w:space="0" w:color="auto"/>
      </w:divBdr>
    </w:div>
    <w:div w:id="1665738665">
      <w:bodyDiv w:val="1"/>
      <w:marLeft w:val="0"/>
      <w:marRight w:val="0"/>
      <w:marTop w:val="0"/>
      <w:marBottom w:val="0"/>
      <w:divBdr>
        <w:top w:val="none" w:sz="0" w:space="0" w:color="auto"/>
        <w:left w:val="none" w:sz="0" w:space="0" w:color="auto"/>
        <w:bottom w:val="none" w:sz="0" w:space="0" w:color="auto"/>
        <w:right w:val="none" w:sz="0" w:space="0" w:color="auto"/>
      </w:divBdr>
    </w:div>
    <w:div w:id="1692998400">
      <w:bodyDiv w:val="1"/>
      <w:marLeft w:val="0"/>
      <w:marRight w:val="0"/>
      <w:marTop w:val="0"/>
      <w:marBottom w:val="0"/>
      <w:divBdr>
        <w:top w:val="none" w:sz="0" w:space="0" w:color="auto"/>
        <w:left w:val="none" w:sz="0" w:space="0" w:color="auto"/>
        <w:bottom w:val="none" w:sz="0" w:space="0" w:color="auto"/>
        <w:right w:val="none" w:sz="0" w:space="0" w:color="auto"/>
      </w:divBdr>
    </w:div>
    <w:div w:id="1697458954">
      <w:bodyDiv w:val="1"/>
      <w:marLeft w:val="0"/>
      <w:marRight w:val="0"/>
      <w:marTop w:val="0"/>
      <w:marBottom w:val="0"/>
      <w:divBdr>
        <w:top w:val="none" w:sz="0" w:space="0" w:color="auto"/>
        <w:left w:val="none" w:sz="0" w:space="0" w:color="auto"/>
        <w:bottom w:val="none" w:sz="0" w:space="0" w:color="auto"/>
        <w:right w:val="none" w:sz="0" w:space="0" w:color="auto"/>
      </w:divBdr>
    </w:div>
    <w:div w:id="1699502241">
      <w:bodyDiv w:val="1"/>
      <w:marLeft w:val="0"/>
      <w:marRight w:val="0"/>
      <w:marTop w:val="0"/>
      <w:marBottom w:val="0"/>
      <w:divBdr>
        <w:top w:val="none" w:sz="0" w:space="0" w:color="auto"/>
        <w:left w:val="none" w:sz="0" w:space="0" w:color="auto"/>
        <w:bottom w:val="none" w:sz="0" w:space="0" w:color="auto"/>
        <w:right w:val="none" w:sz="0" w:space="0" w:color="auto"/>
      </w:divBdr>
    </w:div>
    <w:div w:id="1711875174">
      <w:bodyDiv w:val="1"/>
      <w:marLeft w:val="0"/>
      <w:marRight w:val="0"/>
      <w:marTop w:val="0"/>
      <w:marBottom w:val="0"/>
      <w:divBdr>
        <w:top w:val="none" w:sz="0" w:space="0" w:color="auto"/>
        <w:left w:val="none" w:sz="0" w:space="0" w:color="auto"/>
        <w:bottom w:val="none" w:sz="0" w:space="0" w:color="auto"/>
        <w:right w:val="none" w:sz="0" w:space="0" w:color="auto"/>
      </w:divBdr>
    </w:div>
    <w:div w:id="1740781958">
      <w:bodyDiv w:val="1"/>
      <w:marLeft w:val="0"/>
      <w:marRight w:val="0"/>
      <w:marTop w:val="0"/>
      <w:marBottom w:val="0"/>
      <w:divBdr>
        <w:top w:val="none" w:sz="0" w:space="0" w:color="auto"/>
        <w:left w:val="none" w:sz="0" w:space="0" w:color="auto"/>
        <w:bottom w:val="none" w:sz="0" w:space="0" w:color="auto"/>
        <w:right w:val="none" w:sz="0" w:space="0" w:color="auto"/>
      </w:divBdr>
    </w:div>
    <w:div w:id="1741750340">
      <w:bodyDiv w:val="1"/>
      <w:marLeft w:val="0"/>
      <w:marRight w:val="0"/>
      <w:marTop w:val="0"/>
      <w:marBottom w:val="0"/>
      <w:divBdr>
        <w:top w:val="none" w:sz="0" w:space="0" w:color="auto"/>
        <w:left w:val="none" w:sz="0" w:space="0" w:color="auto"/>
        <w:bottom w:val="none" w:sz="0" w:space="0" w:color="auto"/>
        <w:right w:val="none" w:sz="0" w:space="0" w:color="auto"/>
      </w:divBdr>
    </w:div>
    <w:div w:id="1779989240">
      <w:bodyDiv w:val="1"/>
      <w:marLeft w:val="0"/>
      <w:marRight w:val="0"/>
      <w:marTop w:val="0"/>
      <w:marBottom w:val="0"/>
      <w:divBdr>
        <w:top w:val="none" w:sz="0" w:space="0" w:color="auto"/>
        <w:left w:val="none" w:sz="0" w:space="0" w:color="auto"/>
        <w:bottom w:val="none" w:sz="0" w:space="0" w:color="auto"/>
        <w:right w:val="none" w:sz="0" w:space="0" w:color="auto"/>
      </w:divBdr>
    </w:div>
    <w:div w:id="1804999011">
      <w:bodyDiv w:val="1"/>
      <w:marLeft w:val="0"/>
      <w:marRight w:val="0"/>
      <w:marTop w:val="0"/>
      <w:marBottom w:val="0"/>
      <w:divBdr>
        <w:top w:val="none" w:sz="0" w:space="0" w:color="auto"/>
        <w:left w:val="none" w:sz="0" w:space="0" w:color="auto"/>
        <w:bottom w:val="none" w:sz="0" w:space="0" w:color="auto"/>
        <w:right w:val="none" w:sz="0" w:space="0" w:color="auto"/>
      </w:divBdr>
    </w:div>
    <w:div w:id="1827545843">
      <w:bodyDiv w:val="1"/>
      <w:marLeft w:val="0"/>
      <w:marRight w:val="0"/>
      <w:marTop w:val="0"/>
      <w:marBottom w:val="0"/>
      <w:divBdr>
        <w:top w:val="none" w:sz="0" w:space="0" w:color="auto"/>
        <w:left w:val="none" w:sz="0" w:space="0" w:color="auto"/>
        <w:bottom w:val="none" w:sz="0" w:space="0" w:color="auto"/>
        <w:right w:val="none" w:sz="0" w:space="0" w:color="auto"/>
      </w:divBdr>
    </w:div>
    <w:div w:id="1878882951">
      <w:bodyDiv w:val="1"/>
      <w:marLeft w:val="0"/>
      <w:marRight w:val="0"/>
      <w:marTop w:val="0"/>
      <w:marBottom w:val="0"/>
      <w:divBdr>
        <w:top w:val="none" w:sz="0" w:space="0" w:color="auto"/>
        <w:left w:val="none" w:sz="0" w:space="0" w:color="auto"/>
        <w:bottom w:val="none" w:sz="0" w:space="0" w:color="auto"/>
        <w:right w:val="none" w:sz="0" w:space="0" w:color="auto"/>
      </w:divBdr>
    </w:div>
    <w:div w:id="1899785283">
      <w:bodyDiv w:val="1"/>
      <w:marLeft w:val="0"/>
      <w:marRight w:val="0"/>
      <w:marTop w:val="0"/>
      <w:marBottom w:val="0"/>
      <w:divBdr>
        <w:top w:val="none" w:sz="0" w:space="0" w:color="auto"/>
        <w:left w:val="none" w:sz="0" w:space="0" w:color="auto"/>
        <w:bottom w:val="none" w:sz="0" w:space="0" w:color="auto"/>
        <w:right w:val="none" w:sz="0" w:space="0" w:color="auto"/>
      </w:divBdr>
    </w:div>
    <w:div w:id="1985815321">
      <w:bodyDiv w:val="1"/>
      <w:marLeft w:val="0"/>
      <w:marRight w:val="0"/>
      <w:marTop w:val="0"/>
      <w:marBottom w:val="0"/>
      <w:divBdr>
        <w:top w:val="none" w:sz="0" w:space="0" w:color="auto"/>
        <w:left w:val="none" w:sz="0" w:space="0" w:color="auto"/>
        <w:bottom w:val="none" w:sz="0" w:space="0" w:color="auto"/>
        <w:right w:val="none" w:sz="0" w:space="0" w:color="auto"/>
      </w:divBdr>
    </w:div>
    <w:div w:id="2000571750">
      <w:bodyDiv w:val="1"/>
      <w:marLeft w:val="0"/>
      <w:marRight w:val="0"/>
      <w:marTop w:val="0"/>
      <w:marBottom w:val="0"/>
      <w:divBdr>
        <w:top w:val="none" w:sz="0" w:space="0" w:color="auto"/>
        <w:left w:val="none" w:sz="0" w:space="0" w:color="auto"/>
        <w:bottom w:val="none" w:sz="0" w:space="0" w:color="auto"/>
        <w:right w:val="none" w:sz="0" w:space="0" w:color="auto"/>
      </w:divBdr>
    </w:div>
    <w:div w:id="2117827272">
      <w:bodyDiv w:val="1"/>
      <w:marLeft w:val="0"/>
      <w:marRight w:val="0"/>
      <w:marTop w:val="0"/>
      <w:marBottom w:val="0"/>
      <w:divBdr>
        <w:top w:val="none" w:sz="0" w:space="0" w:color="auto"/>
        <w:left w:val="none" w:sz="0" w:space="0" w:color="auto"/>
        <w:bottom w:val="none" w:sz="0" w:space="0" w:color="auto"/>
        <w:right w:val="none" w:sz="0" w:space="0" w:color="auto"/>
      </w:divBdr>
    </w:div>
    <w:div w:id="2137947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hyperlink" Target="https://www.em.gov.lv/en/construction" TargetMode="External"/><Relationship Id="rId26" Type="http://schemas.openxmlformats.org/officeDocument/2006/relationships/image" Target="media/image17.svg"/><Relationship Id="rId39" Type="http://schemas.openxmlformats.org/officeDocument/2006/relationships/chart" Target="charts/chart13.xml"/><Relationship Id="rId21" Type="http://schemas.openxmlformats.org/officeDocument/2006/relationships/image" Target="media/image12.png"/><Relationship Id="rId34" Type="http://schemas.openxmlformats.org/officeDocument/2006/relationships/chart" Target="charts/chart8.xml"/><Relationship Id="rId42" Type="http://schemas.openxmlformats.org/officeDocument/2006/relationships/chart" Target="charts/chart16.xml"/><Relationship Id="rId47" Type="http://schemas.openxmlformats.org/officeDocument/2006/relationships/image" Target="media/image18.png"/><Relationship Id="rId50" Type="http://schemas.openxmlformats.org/officeDocument/2006/relationships/image" Target="media/image19.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20.xml"/><Relationship Id="rId2" Type="http://schemas.openxmlformats.org/officeDocument/2006/relationships/customXml" Target="../customXml/item2.xml"/><Relationship Id="rId16" Type="http://schemas.openxmlformats.org/officeDocument/2006/relationships/image" Target="media/image8.svg"/><Relationship Id="rId20" Type="http://schemas.openxmlformats.org/officeDocument/2006/relationships/image" Target="media/image11.svg"/><Relationship Id="rId29" Type="http://schemas.openxmlformats.org/officeDocument/2006/relationships/chart" Target="charts/chart3.xml"/><Relationship Id="rId41" Type="http://schemas.openxmlformats.org/officeDocument/2006/relationships/chart" Target="charts/chart15.xm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svg"/><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chart" Target="charts/chart2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chart" Target="charts/chart5.xml"/><Relationship Id="rId44" Type="http://schemas.openxmlformats.org/officeDocument/2006/relationships/chart" Target="charts/chart18.xml"/><Relationship Id="rId52" Type="http://schemas.openxmlformats.org/officeDocument/2006/relationships/image" Target="media/image21.sv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chart" Target="charts/chart21.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0.png"/><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charts/_rels/chart1.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Anketu%20dati/Ekspertizes_rezultat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Anketu%20dati/Ekspertizes_rezultati.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Anketu%20dati/Ekspertizes_rezultati.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Anketu%20dati/Ekspertizes_rezultati.xlsx"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Anketu%20dati/Ekspertizes_rezultati.xlsx"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Anketu%20dati/Ekspertizes_rezultati.xlsx"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Anketu%20dati/Ekspertizes_rezultati.xlsx"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Anketu%20dati/Ekspertizes_rezultati.xlsx" TargetMode="External"/><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Anketu%20dati/Ekspertizes_rezultati.xlsx" TargetMode="External"/><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Anketu%20dati/Ekspertizes_rezultati.xlsx" TargetMode="External"/><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Anketu%20dati/Ekspertizes_rezultati.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Anketu%20dati/Ekspertizes_rezultati.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Anketu%20dati/Ekspertizes_rezultati.xlsx" TargetMode="External"/><Relationship Id="rId2" Type="http://schemas.microsoft.com/office/2011/relationships/chartColorStyle" Target="colors18.xml"/><Relationship Id="rId1" Type="http://schemas.microsoft.com/office/2011/relationships/chartStyle" Target="style18.xml"/></Relationships>
</file>

<file path=word/charts/_rels/chart21.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Anketu%20dati/Ekspertizes_rezultati.xlsx" TargetMode="External"/><Relationship Id="rId2" Type="http://schemas.microsoft.com/office/2011/relationships/chartColorStyle" Target="colors19.xml"/><Relationship Id="rId1" Type="http://schemas.microsoft.com/office/2011/relationships/chartStyle" Target="style19.xml"/></Relationships>
</file>

<file path=word/charts/_rels/chart22.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Anketu%20dati/Ekspertizes_rezultati.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Zi&#326;ojums/2_Apkopojums_ES_fondi_buvniecib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https://universityoflatvia387-my.sharepoint.com/personal/danis_edu_lu_lv/Documents/P&#275;t&#299;jumi%20un%20projekti/2018%20Buvniecibas%20petijums/Dati/Apgr-pelna-izm.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universityoflatvia387-my.sharepoint.com/personal/danis_edu_lu_lv/Documents/P&#275;t&#299;jumi%20un%20projekti/2018%20Buvniecibas%20petijums/Dati/Apgr-pelna-izm.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Anketu%20dati/Ekspertizes_rezultati.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Anketu%20dati/Ekspertizes_rezultati.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Anketu%20dati/Ekspertizes_rezultati.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lv-LV" sz="1000">
                <a:latin typeface="Arial" panose="020B0604020202020204" pitchFamily="34" charset="0"/>
                <a:cs typeface="Arial" panose="020B0604020202020204" pitchFamily="34" charset="0"/>
              </a:rPr>
              <a:t>Forecasts of changes in the volume of construction output as a percentage of the previous year 2021-2025</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title>
    <c:autoTitleDeleted val="0"/>
    <c:plotArea>
      <c:layout/>
      <c:lineChart>
        <c:grouping val="standard"/>
        <c:varyColors val="0"/>
        <c:ser>
          <c:idx val="0"/>
          <c:order val="0"/>
          <c:tx>
            <c:v>Construction production</c:v>
          </c:tx>
          <c:spPr>
            <a:ln w="19050" cap="rnd">
              <a:solidFill>
                <a:schemeClr val="tx1">
                  <a:lumMod val="50000"/>
                  <a:lumOff val="50000"/>
                </a:schemeClr>
              </a:solidFill>
              <a:prstDash val="sysDash"/>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'Q03'!$B$37:$B$51</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'Q03'!$H$37:$H$46</c:f>
              <c:numCache>
                <c:formatCode>General</c:formatCode>
                <c:ptCount val="10"/>
                <c:pt idx="0">
                  <c:v>12.200000000000003</c:v>
                </c:pt>
                <c:pt idx="1">
                  <c:v>14.799999999999997</c:v>
                </c:pt>
                <c:pt idx="2">
                  <c:v>7.2999999999999972</c:v>
                </c:pt>
                <c:pt idx="3">
                  <c:v>10.599999999999994</c:v>
                </c:pt>
                <c:pt idx="4">
                  <c:v>-0.59999999999999432</c:v>
                </c:pt>
                <c:pt idx="5">
                  <c:v>-16.599999999999994</c:v>
                </c:pt>
                <c:pt idx="6">
                  <c:v>18.599999999999994</c:v>
                </c:pt>
                <c:pt idx="7">
                  <c:v>21.900000000000006</c:v>
                </c:pt>
                <c:pt idx="8">
                  <c:v>2.9000000000000057</c:v>
                </c:pt>
                <c:pt idx="9">
                  <c:v>2.7000000000000028</c:v>
                </c:pt>
              </c:numCache>
            </c:numRef>
          </c:val>
          <c:smooth val="0"/>
          <c:extLst>
            <c:ext xmlns:c16="http://schemas.microsoft.com/office/drawing/2014/chart" uri="{C3380CC4-5D6E-409C-BE32-E72D297353CC}">
              <c16:uniqueId val="{00000000-3DE8-496E-897F-FD8CCFA02DFD}"/>
            </c:ext>
          </c:extLst>
        </c:ser>
        <c:ser>
          <c:idx val="1"/>
          <c:order val="1"/>
          <c:tx>
            <c:v>Statistical forecast</c:v>
          </c:tx>
          <c:spPr>
            <a:ln w="19050" cap="rnd">
              <a:solidFill>
                <a:schemeClr val="accent5">
                  <a:lumMod val="60000"/>
                  <a:lumOff val="40000"/>
                </a:schemeClr>
              </a:solidFill>
              <a:prstDash val="sysDash"/>
              <a:round/>
            </a:ln>
            <a:effectLst/>
          </c:spPr>
          <c:marker>
            <c:symbol val="none"/>
          </c:marker>
          <c:cat>
            <c:strRef>
              <c:f>'Q03'!$B$37:$B$51</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'Q03'!$I$37:$I$51</c:f>
              <c:numCache>
                <c:formatCode>General</c:formatCode>
                <c:ptCount val="15"/>
                <c:pt idx="10">
                  <c:v>4.5238322588872961</c:v>
                </c:pt>
                <c:pt idx="11">
                  <c:v>4.1852497327432729</c:v>
                </c:pt>
                <c:pt idx="12">
                  <c:v>3.873753808690779</c:v>
                </c:pt>
                <c:pt idx="13">
                  <c:v>3.5862191095653912</c:v>
                </c:pt>
                <c:pt idx="14">
                  <c:v>3.3199832770418851</c:v>
                </c:pt>
              </c:numCache>
            </c:numRef>
          </c:val>
          <c:smooth val="0"/>
          <c:extLst>
            <c:ext xmlns:c16="http://schemas.microsoft.com/office/drawing/2014/chart" uri="{C3380CC4-5D6E-409C-BE32-E72D297353CC}">
              <c16:uniqueId val="{00000001-3DE8-496E-897F-FD8CCFA02DFD}"/>
            </c:ext>
          </c:extLst>
        </c:ser>
        <c:ser>
          <c:idx val="2"/>
          <c:order val="2"/>
          <c:tx>
            <c:v>Combined forecast</c:v>
          </c:tx>
          <c:spPr>
            <a:ln w="28575" cap="rnd">
              <a:solidFill>
                <a:schemeClr val="tx1"/>
              </a:solidFill>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'Q03'!$B$37:$B$51</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'Q03'!$J$37:$J$51</c:f>
              <c:numCache>
                <c:formatCode>General</c:formatCode>
                <c:ptCount val="15"/>
                <c:pt idx="10">
                  <c:v>6.6309637484912685</c:v>
                </c:pt>
                <c:pt idx="11">
                  <c:v>7.1402439139906875</c:v>
                </c:pt>
                <c:pt idx="12">
                  <c:v>6.4725911900596742</c:v>
                </c:pt>
                <c:pt idx="13">
                  <c:v>5.0931095547826999</c:v>
                </c:pt>
                <c:pt idx="14">
                  <c:v>4.8724916385209411</c:v>
                </c:pt>
              </c:numCache>
            </c:numRef>
          </c:val>
          <c:smooth val="0"/>
          <c:extLst>
            <c:ext xmlns:c16="http://schemas.microsoft.com/office/drawing/2014/chart" uri="{C3380CC4-5D6E-409C-BE32-E72D297353CC}">
              <c16:uniqueId val="{00000002-3DE8-496E-897F-FD8CCFA02DFD}"/>
            </c:ext>
          </c:extLst>
        </c:ser>
        <c:ser>
          <c:idx val="3"/>
          <c:order val="3"/>
          <c:tx>
            <c:v>Expert forecast</c:v>
          </c:tx>
          <c:spPr>
            <a:ln w="19050" cap="rnd">
              <a:solidFill>
                <a:schemeClr val="accent2">
                  <a:lumMod val="60000"/>
                  <a:lumOff val="40000"/>
                </a:schemeClr>
              </a:solidFill>
              <a:prstDash val="sysDash"/>
              <a:round/>
            </a:ln>
            <a:effectLst/>
          </c:spPr>
          <c:marker>
            <c:symbol val="none"/>
          </c:marker>
          <c:cat>
            <c:strRef>
              <c:f>'Q03'!$B$37:$B$51</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'Q03'!$K$37:$K$51</c:f>
              <c:numCache>
                <c:formatCode>General</c:formatCode>
                <c:ptCount val="15"/>
                <c:pt idx="10">
                  <c:v>8.7380952380952408</c:v>
                </c:pt>
                <c:pt idx="11">
                  <c:v>10.095238095238102</c:v>
                </c:pt>
                <c:pt idx="12">
                  <c:v>9.0714285714285694</c:v>
                </c:pt>
                <c:pt idx="13">
                  <c:v>6.5999999999999943</c:v>
                </c:pt>
                <c:pt idx="14">
                  <c:v>6.4249999999999972</c:v>
                </c:pt>
              </c:numCache>
            </c:numRef>
          </c:val>
          <c:smooth val="0"/>
          <c:extLst>
            <c:ext xmlns:c16="http://schemas.microsoft.com/office/drawing/2014/chart" uri="{C3380CC4-5D6E-409C-BE32-E72D297353CC}">
              <c16:uniqueId val="{00000003-3DE8-496E-897F-FD8CCFA02DFD}"/>
            </c:ext>
          </c:extLst>
        </c:ser>
        <c:dLbls>
          <c:showLegendKey val="0"/>
          <c:showVal val="0"/>
          <c:showCatName val="0"/>
          <c:showSerName val="0"/>
          <c:showPercent val="0"/>
          <c:showBubbleSize val="0"/>
        </c:dLbls>
        <c:smooth val="0"/>
        <c:axId val="1267990128"/>
        <c:axId val="1267990960"/>
      </c:lineChart>
      <c:catAx>
        <c:axId val="1267990128"/>
        <c:scaling>
          <c:orientation val="minMax"/>
        </c:scaling>
        <c:delete val="0"/>
        <c:axPos val="b"/>
        <c:numFmt formatCode="General" sourceLinked="1"/>
        <c:majorTickMark val="none"/>
        <c:minorTickMark val="none"/>
        <c:tickLblPos val="low"/>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lv-LV"/>
          </a:p>
        </c:txPr>
        <c:crossAx val="1267990960"/>
        <c:crosses val="autoZero"/>
        <c:auto val="1"/>
        <c:lblAlgn val="ctr"/>
        <c:lblOffset val="100"/>
        <c:noMultiLvlLbl val="0"/>
      </c:catAx>
      <c:valAx>
        <c:axId val="1267990960"/>
        <c:scaling>
          <c:orientation val="minMax"/>
        </c:scaling>
        <c:delete val="0"/>
        <c:axPos val="l"/>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12679901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Changes in the cost of machinery and equipment</c:v>
          </c:tx>
          <c:spPr>
            <a:ln w="19050" cap="rnd">
              <a:solidFill>
                <a:schemeClr val="bg1">
                  <a:lumMod val="50000"/>
                </a:schemeClr>
              </a:solidFill>
              <a:prstDash val="sysDash"/>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Q03_APAK!$B$55:$B$69</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'Q04'!$C$95:$C$104</c:f>
              <c:numCache>
                <c:formatCode>0.00</c:formatCode>
                <c:ptCount val="10"/>
                <c:pt idx="0">
                  <c:v>10.200000000000003</c:v>
                </c:pt>
                <c:pt idx="1">
                  <c:v>12.200000000000003</c:v>
                </c:pt>
                <c:pt idx="2">
                  <c:v>2.2999999999999972</c:v>
                </c:pt>
                <c:pt idx="3">
                  <c:v>0.40000000000000568</c:v>
                </c:pt>
                <c:pt idx="4">
                  <c:v>0</c:v>
                </c:pt>
                <c:pt idx="5">
                  <c:v>1.0999999999999943</c:v>
                </c:pt>
                <c:pt idx="6">
                  <c:v>1</c:v>
                </c:pt>
                <c:pt idx="7">
                  <c:v>2.7999999999999972</c:v>
                </c:pt>
                <c:pt idx="8">
                  <c:v>2.7000000000000028</c:v>
                </c:pt>
                <c:pt idx="9">
                  <c:v>0.70000000000000284</c:v>
                </c:pt>
              </c:numCache>
            </c:numRef>
          </c:val>
          <c:smooth val="0"/>
          <c:extLst>
            <c:ext xmlns:c16="http://schemas.microsoft.com/office/drawing/2014/chart" uri="{C3380CC4-5D6E-409C-BE32-E72D297353CC}">
              <c16:uniqueId val="{00000000-98C1-4C31-9E92-176CF8D2F657}"/>
            </c:ext>
          </c:extLst>
        </c:ser>
        <c:ser>
          <c:idx val="1"/>
          <c:order val="1"/>
          <c:tx>
            <c:v>Statistical forecast</c:v>
          </c:tx>
          <c:spPr>
            <a:ln w="19050" cap="rnd">
              <a:solidFill>
                <a:srgbClr val="00B0F0"/>
              </a:solidFill>
              <a:prstDash val="sysDash"/>
              <a:round/>
            </a:ln>
            <a:effectLst/>
          </c:spPr>
          <c:marker>
            <c:symbol val="none"/>
          </c:marker>
          <c:cat>
            <c:strRef>
              <c:f>Q03_APAK!$B$55:$B$69</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'Q04'!$D$95:$D$109</c:f>
              <c:numCache>
                <c:formatCode>General</c:formatCode>
                <c:ptCount val="15"/>
                <c:pt idx="10" formatCode="0.00">
                  <c:v>-0.92541715554112614</c:v>
                </c:pt>
                <c:pt idx="11" formatCode="0.00">
                  <c:v>-1.4105356471382322</c:v>
                </c:pt>
                <c:pt idx="12" formatCode="0.00">
                  <c:v>-1.8547464479940459</c:v>
                </c:pt>
                <c:pt idx="13" formatCode="0.00">
                  <c:v>-2.2630105346790401</c:v>
                </c:pt>
                <c:pt idx="14" formatCode="0.00">
                  <c:v>-2.6395184269220806</c:v>
                </c:pt>
              </c:numCache>
            </c:numRef>
          </c:val>
          <c:smooth val="0"/>
          <c:extLst>
            <c:ext xmlns:c16="http://schemas.microsoft.com/office/drawing/2014/chart" uri="{C3380CC4-5D6E-409C-BE32-E72D297353CC}">
              <c16:uniqueId val="{00000001-98C1-4C31-9E92-176CF8D2F657}"/>
            </c:ext>
          </c:extLst>
        </c:ser>
        <c:ser>
          <c:idx val="2"/>
          <c:order val="2"/>
          <c:tx>
            <c:v>Expert Forecast</c:v>
          </c:tx>
          <c:spPr>
            <a:ln w="19050" cap="rnd">
              <a:solidFill>
                <a:srgbClr val="FFC000"/>
              </a:solidFill>
              <a:prstDash val="sysDash"/>
              <a:round/>
            </a:ln>
            <a:effectLst/>
          </c:spPr>
          <c:marker>
            <c:symbol val="none"/>
          </c:marker>
          <c:cat>
            <c:strRef>
              <c:f>Q03_APAK!$B$55:$B$69</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'Q04'!$F$95:$F$109</c:f>
              <c:numCache>
                <c:formatCode>General</c:formatCode>
                <c:ptCount val="15"/>
                <c:pt idx="10" formatCode="0.00">
                  <c:v>3.5714285714285716</c:v>
                </c:pt>
                <c:pt idx="11" formatCode="0.00">
                  <c:v>3.5857142857142854</c:v>
                </c:pt>
                <c:pt idx="12" formatCode="0.00">
                  <c:v>3.1428571428571428</c:v>
                </c:pt>
                <c:pt idx="13" formatCode="0.00">
                  <c:v>3.6</c:v>
                </c:pt>
                <c:pt idx="14" formatCode="0.00">
                  <c:v>2.9750000000000001</c:v>
                </c:pt>
              </c:numCache>
            </c:numRef>
          </c:val>
          <c:smooth val="0"/>
          <c:extLst>
            <c:ext xmlns:c16="http://schemas.microsoft.com/office/drawing/2014/chart" uri="{C3380CC4-5D6E-409C-BE32-E72D297353CC}">
              <c16:uniqueId val="{00000002-98C1-4C31-9E92-176CF8D2F657}"/>
            </c:ext>
          </c:extLst>
        </c:ser>
        <c:ser>
          <c:idx val="3"/>
          <c:order val="3"/>
          <c:tx>
            <c:v>Combined forecast</c:v>
          </c:tx>
          <c:spPr>
            <a:ln w="19050" cap="rnd">
              <a:solidFill>
                <a:schemeClr val="tx1"/>
              </a:solidFill>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Q03_APAK!$B$55:$B$69</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'Q04'!$E$95:$E$109</c:f>
              <c:numCache>
                <c:formatCode>General</c:formatCode>
                <c:ptCount val="15"/>
                <c:pt idx="10" formatCode="0.00">
                  <c:v>1.3230057079437216</c:v>
                </c:pt>
                <c:pt idx="11" formatCode="0.00">
                  <c:v>1.0875893192880284</c:v>
                </c:pt>
                <c:pt idx="12" formatCode="0.00">
                  <c:v>0.64405534743154647</c:v>
                </c:pt>
                <c:pt idx="13" formatCode="0.00">
                  <c:v>0.6684947326604771</c:v>
                </c:pt>
                <c:pt idx="14" formatCode="0.00">
                  <c:v>0.16774078653895685</c:v>
                </c:pt>
              </c:numCache>
            </c:numRef>
          </c:val>
          <c:smooth val="0"/>
          <c:extLst>
            <c:ext xmlns:c16="http://schemas.microsoft.com/office/drawing/2014/chart" uri="{C3380CC4-5D6E-409C-BE32-E72D297353CC}">
              <c16:uniqueId val="{00000003-98C1-4C31-9E92-176CF8D2F657}"/>
            </c:ext>
          </c:extLst>
        </c:ser>
        <c:dLbls>
          <c:showLegendKey val="0"/>
          <c:showVal val="0"/>
          <c:showCatName val="0"/>
          <c:showSerName val="0"/>
          <c:showPercent val="0"/>
          <c:showBubbleSize val="0"/>
        </c:dLbls>
        <c:smooth val="0"/>
        <c:axId val="17293471"/>
        <c:axId val="17294303"/>
      </c:lineChart>
      <c:catAx>
        <c:axId val="17293471"/>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v-LV"/>
          </a:p>
        </c:txPr>
        <c:crossAx val="17294303"/>
        <c:crosses val="autoZero"/>
        <c:auto val="1"/>
        <c:lblAlgn val="ctr"/>
        <c:lblOffset val="100"/>
        <c:noMultiLvlLbl val="0"/>
      </c:catAx>
      <c:valAx>
        <c:axId val="17294303"/>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v-LV"/>
          </a:p>
        </c:txPr>
        <c:crossAx val="1729347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lv-LV" sz="1100">
                <a:latin typeface="Arial" panose="020B0604020202020204" pitchFamily="34" charset="0"/>
                <a:cs typeface="Arial" panose="020B0604020202020204" pitchFamily="34" charset="0"/>
              </a:rPr>
              <a:t>Forecasts of changes in residential buildings by types of resources for 2021-2025</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title>
    <c:autoTitleDeleted val="0"/>
    <c:plotArea>
      <c:layout/>
      <c:lineChart>
        <c:grouping val="standard"/>
        <c:varyColors val="0"/>
        <c:ser>
          <c:idx val="0"/>
          <c:order val="0"/>
          <c:tx>
            <c:strRef>
              <c:f>Q04_APAK!$D$7</c:f>
              <c:strCache>
                <c:ptCount val="1"/>
                <c:pt idx="0">
                  <c:v>Changes in construction material costs</c:v>
                </c:pt>
              </c:strCache>
            </c:strRef>
          </c:tx>
          <c:spPr>
            <a:ln w="28575" cap="rnd">
              <a:solidFill>
                <a:schemeClr val="accent1"/>
              </a:solidFill>
              <a:round/>
            </a:ln>
            <a:effectLst/>
          </c:spPr>
          <c:marker>
            <c:symbol val="none"/>
          </c:marker>
          <c:cat>
            <c:strRef>
              <c:f>Q04_APAK!$B$9:$B$13</c:f>
              <c:strCache>
                <c:ptCount val="5"/>
                <c:pt idx="0">
                  <c:v>2021.</c:v>
                </c:pt>
                <c:pt idx="1">
                  <c:v>2022.</c:v>
                </c:pt>
                <c:pt idx="2">
                  <c:v>2023.</c:v>
                </c:pt>
                <c:pt idx="3">
                  <c:v>2024.</c:v>
                </c:pt>
                <c:pt idx="4">
                  <c:v>2025.</c:v>
                </c:pt>
              </c:strCache>
            </c:strRef>
          </c:cat>
          <c:val>
            <c:numRef>
              <c:f>Q04_APAK!$D$9:$D$13</c:f>
              <c:numCache>
                <c:formatCode>0.00</c:formatCode>
                <c:ptCount val="5"/>
                <c:pt idx="0">
                  <c:v>14.714285714285714</c:v>
                </c:pt>
                <c:pt idx="1">
                  <c:v>5.5714285714285712</c:v>
                </c:pt>
                <c:pt idx="2">
                  <c:v>2.5714285714285716</c:v>
                </c:pt>
                <c:pt idx="3">
                  <c:v>6</c:v>
                </c:pt>
                <c:pt idx="4">
                  <c:v>8.4285714285714288</c:v>
                </c:pt>
              </c:numCache>
            </c:numRef>
          </c:val>
          <c:smooth val="0"/>
          <c:extLst>
            <c:ext xmlns:c16="http://schemas.microsoft.com/office/drawing/2014/chart" uri="{C3380CC4-5D6E-409C-BE32-E72D297353CC}">
              <c16:uniqueId val="{00000000-E33C-4F9C-A0D7-A60D47118166}"/>
            </c:ext>
          </c:extLst>
        </c:ser>
        <c:ser>
          <c:idx val="1"/>
          <c:order val="1"/>
          <c:tx>
            <c:strRef>
              <c:f>Q04_APAK!$H$7</c:f>
              <c:strCache>
                <c:ptCount val="1"/>
                <c:pt idx="0">
                  <c:v>Changes in workers' wage costs</c:v>
                </c:pt>
              </c:strCache>
            </c:strRef>
          </c:tx>
          <c:spPr>
            <a:ln w="28575" cap="rnd">
              <a:solidFill>
                <a:schemeClr val="accent2"/>
              </a:solidFill>
              <a:round/>
            </a:ln>
            <a:effectLst/>
          </c:spPr>
          <c:marker>
            <c:symbol val="none"/>
          </c:marker>
          <c:cat>
            <c:strRef>
              <c:f>Q04_APAK!$B$9:$B$13</c:f>
              <c:strCache>
                <c:ptCount val="5"/>
                <c:pt idx="0">
                  <c:v>2021.</c:v>
                </c:pt>
                <c:pt idx="1">
                  <c:v>2022.</c:v>
                </c:pt>
                <c:pt idx="2">
                  <c:v>2023.</c:v>
                </c:pt>
                <c:pt idx="3">
                  <c:v>2024.</c:v>
                </c:pt>
                <c:pt idx="4">
                  <c:v>2025.</c:v>
                </c:pt>
              </c:strCache>
            </c:strRef>
          </c:cat>
          <c:val>
            <c:numRef>
              <c:f>Q04_APAK!$H$9:$H$13</c:f>
              <c:numCache>
                <c:formatCode>0.00</c:formatCode>
                <c:ptCount val="5"/>
                <c:pt idx="0">
                  <c:v>7</c:v>
                </c:pt>
                <c:pt idx="1">
                  <c:v>3.4285714285714284</c:v>
                </c:pt>
                <c:pt idx="2">
                  <c:v>3.8571428571428572</c:v>
                </c:pt>
                <c:pt idx="3">
                  <c:v>6</c:v>
                </c:pt>
                <c:pt idx="4">
                  <c:v>6.5714285714285712</c:v>
                </c:pt>
              </c:numCache>
            </c:numRef>
          </c:val>
          <c:smooth val="0"/>
          <c:extLst>
            <c:ext xmlns:c16="http://schemas.microsoft.com/office/drawing/2014/chart" uri="{C3380CC4-5D6E-409C-BE32-E72D297353CC}">
              <c16:uniqueId val="{00000001-E33C-4F9C-A0D7-A60D47118166}"/>
            </c:ext>
          </c:extLst>
        </c:ser>
        <c:ser>
          <c:idx val="2"/>
          <c:order val="2"/>
          <c:tx>
            <c:strRef>
              <c:f>Q04_APAK!$D$15</c:f>
              <c:strCache>
                <c:ptCount val="1"/>
                <c:pt idx="0">
                  <c:v>Changes in maintenance and operating costs of machinery and equipment</c:v>
                </c:pt>
              </c:strCache>
            </c:strRef>
          </c:tx>
          <c:spPr>
            <a:ln w="28575" cap="rnd">
              <a:solidFill>
                <a:schemeClr val="accent3"/>
              </a:solidFill>
              <a:round/>
            </a:ln>
            <a:effectLst/>
          </c:spPr>
          <c:marker>
            <c:symbol val="none"/>
          </c:marker>
          <c:val>
            <c:numRef>
              <c:f>Q04_APAK!$D$17:$D$21</c:f>
              <c:numCache>
                <c:formatCode>0.00</c:formatCode>
                <c:ptCount val="5"/>
                <c:pt idx="0">
                  <c:v>4.5714285714285712</c:v>
                </c:pt>
                <c:pt idx="1">
                  <c:v>5</c:v>
                </c:pt>
                <c:pt idx="2">
                  <c:v>5.5714285714285712</c:v>
                </c:pt>
                <c:pt idx="3">
                  <c:v>5.7142857142857144</c:v>
                </c:pt>
                <c:pt idx="4">
                  <c:v>6.4285714285714288</c:v>
                </c:pt>
              </c:numCache>
            </c:numRef>
          </c:val>
          <c:smooth val="0"/>
          <c:extLst>
            <c:ext xmlns:c16="http://schemas.microsoft.com/office/drawing/2014/chart" uri="{C3380CC4-5D6E-409C-BE32-E72D297353CC}">
              <c16:uniqueId val="{00000002-E33C-4F9C-A0D7-A60D47118166}"/>
            </c:ext>
          </c:extLst>
        </c:ser>
        <c:ser>
          <c:idx val="3"/>
          <c:order val="3"/>
          <c:tx>
            <c:strRef>
              <c:f>Q04_APAK!$H$15</c:f>
              <c:strCache>
                <c:ptCount val="1"/>
                <c:pt idx="0">
                  <c:v>Architectural and engineering services; technical testing and analysis</c:v>
                </c:pt>
              </c:strCache>
            </c:strRef>
          </c:tx>
          <c:spPr>
            <a:ln w="28575" cap="rnd">
              <a:solidFill>
                <a:schemeClr val="accent4"/>
              </a:solidFill>
              <a:round/>
            </a:ln>
            <a:effectLst/>
          </c:spPr>
          <c:marker>
            <c:symbol val="none"/>
          </c:marker>
          <c:val>
            <c:numRef>
              <c:f>Q04_APAK!$H$17:$H$21</c:f>
              <c:numCache>
                <c:formatCode>0.00</c:formatCode>
                <c:ptCount val="5"/>
                <c:pt idx="0">
                  <c:v>5.1428571428571432</c:v>
                </c:pt>
                <c:pt idx="1">
                  <c:v>5.8571428571428568</c:v>
                </c:pt>
                <c:pt idx="2">
                  <c:v>1.7142857142857142</c:v>
                </c:pt>
                <c:pt idx="3">
                  <c:v>5</c:v>
                </c:pt>
                <c:pt idx="4">
                  <c:v>7.4285714285714288</c:v>
                </c:pt>
              </c:numCache>
            </c:numRef>
          </c:val>
          <c:smooth val="0"/>
          <c:extLst>
            <c:ext xmlns:c16="http://schemas.microsoft.com/office/drawing/2014/chart" uri="{C3380CC4-5D6E-409C-BE32-E72D297353CC}">
              <c16:uniqueId val="{00000003-E33C-4F9C-A0D7-A60D47118166}"/>
            </c:ext>
          </c:extLst>
        </c:ser>
        <c:dLbls>
          <c:showLegendKey val="0"/>
          <c:showVal val="0"/>
          <c:showCatName val="0"/>
          <c:showSerName val="0"/>
          <c:showPercent val="0"/>
          <c:showBubbleSize val="0"/>
        </c:dLbls>
        <c:smooth val="0"/>
        <c:axId val="17293471"/>
        <c:axId val="17294303"/>
      </c:lineChart>
      <c:catAx>
        <c:axId val="17293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v-LV"/>
          </a:p>
        </c:txPr>
        <c:crossAx val="17294303"/>
        <c:crosses val="autoZero"/>
        <c:auto val="1"/>
        <c:lblAlgn val="ctr"/>
        <c:lblOffset val="100"/>
        <c:noMultiLvlLbl val="0"/>
      </c:catAx>
      <c:valAx>
        <c:axId val="172943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v-LV"/>
          </a:p>
        </c:txPr>
        <c:crossAx val="1729347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lv-LV" sz="1100" b="0" i="0" baseline="0">
                <a:effectLst/>
                <a:latin typeface="Arial" panose="020B0604020202020204" pitchFamily="34" charset="0"/>
                <a:cs typeface="Arial" panose="020B0604020202020204" pitchFamily="34" charset="0"/>
              </a:rPr>
              <a:t>Forecasts of changes in the cost of non-residential buildings by types of resources for 2021-2025</a:t>
            </a:r>
            <a:endParaRPr lang="lv-LV" sz="1100">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title>
    <c:autoTitleDeleted val="0"/>
    <c:plotArea>
      <c:layout/>
      <c:lineChart>
        <c:grouping val="standard"/>
        <c:varyColors val="0"/>
        <c:ser>
          <c:idx val="0"/>
          <c:order val="0"/>
          <c:tx>
            <c:strRef>
              <c:f>Q04_APAK!$D$7</c:f>
              <c:strCache>
                <c:ptCount val="1"/>
                <c:pt idx="0">
                  <c:v>Changes in construction material costs</c:v>
                </c:pt>
              </c:strCache>
            </c:strRef>
          </c:tx>
          <c:spPr>
            <a:ln w="28575" cap="rnd">
              <a:solidFill>
                <a:schemeClr val="accent1"/>
              </a:solidFill>
              <a:round/>
            </a:ln>
            <a:effectLst/>
          </c:spPr>
          <c:marker>
            <c:symbol val="none"/>
          </c:marker>
          <c:cat>
            <c:strRef>
              <c:f>Q04_APAK!$B$9:$B$13</c:f>
              <c:strCache>
                <c:ptCount val="5"/>
                <c:pt idx="0">
                  <c:v>2021.</c:v>
                </c:pt>
                <c:pt idx="1">
                  <c:v>2022.</c:v>
                </c:pt>
                <c:pt idx="2">
                  <c:v>2023.</c:v>
                </c:pt>
                <c:pt idx="3">
                  <c:v>2024.</c:v>
                </c:pt>
                <c:pt idx="4">
                  <c:v>2025.</c:v>
                </c:pt>
              </c:strCache>
            </c:strRef>
          </c:cat>
          <c:val>
            <c:numRef>
              <c:f>Q04_APAK!$D$26:$D$30</c:f>
              <c:numCache>
                <c:formatCode>0.00</c:formatCode>
                <c:ptCount val="5"/>
                <c:pt idx="0">
                  <c:v>14.857142857142858</c:v>
                </c:pt>
                <c:pt idx="1">
                  <c:v>6.4285714285714288</c:v>
                </c:pt>
                <c:pt idx="2">
                  <c:v>2.4285714285714284</c:v>
                </c:pt>
                <c:pt idx="3">
                  <c:v>6.1428571428571432</c:v>
                </c:pt>
                <c:pt idx="4">
                  <c:v>8.5714285714285712</c:v>
                </c:pt>
              </c:numCache>
            </c:numRef>
          </c:val>
          <c:smooth val="0"/>
          <c:extLst>
            <c:ext xmlns:c16="http://schemas.microsoft.com/office/drawing/2014/chart" uri="{C3380CC4-5D6E-409C-BE32-E72D297353CC}">
              <c16:uniqueId val="{00000000-66B4-4CB3-BE89-473FB4E93B43}"/>
            </c:ext>
          </c:extLst>
        </c:ser>
        <c:ser>
          <c:idx val="1"/>
          <c:order val="1"/>
          <c:tx>
            <c:strRef>
              <c:f>Q04_APAK!$H$7</c:f>
              <c:strCache>
                <c:ptCount val="1"/>
                <c:pt idx="0">
                  <c:v>Changes in workers' wage costs</c:v>
                </c:pt>
              </c:strCache>
            </c:strRef>
          </c:tx>
          <c:spPr>
            <a:ln w="28575" cap="rnd">
              <a:solidFill>
                <a:schemeClr val="accent2"/>
              </a:solidFill>
              <a:round/>
            </a:ln>
            <a:effectLst/>
          </c:spPr>
          <c:marker>
            <c:symbol val="none"/>
          </c:marker>
          <c:cat>
            <c:strRef>
              <c:f>Q04_APAK!$B$9:$B$13</c:f>
              <c:strCache>
                <c:ptCount val="5"/>
                <c:pt idx="0">
                  <c:v>2021.</c:v>
                </c:pt>
                <c:pt idx="1">
                  <c:v>2022.</c:v>
                </c:pt>
                <c:pt idx="2">
                  <c:v>2023.</c:v>
                </c:pt>
                <c:pt idx="3">
                  <c:v>2024.</c:v>
                </c:pt>
                <c:pt idx="4">
                  <c:v>2025.</c:v>
                </c:pt>
              </c:strCache>
            </c:strRef>
          </c:cat>
          <c:val>
            <c:numRef>
              <c:f>Q04_APAK!$H$26:$H$30</c:f>
              <c:numCache>
                <c:formatCode>0.00</c:formatCode>
                <c:ptCount val="5"/>
                <c:pt idx="0">
                  <c:v>6.8571428571428568</c:v>
                </c:pt>
                <c:pt idx="1">
                  <c:v>3.4285714285714284</c:v>
                </c:pt>
                <c:pt idx="2">
                  <c:v>3.8571428571428572</c:v>
                </c:pt>
                <c:pt idx="3">
                  <c:v>6</c:v>
                </c:pt>
                <c:pt idx="4">
                  <c:v>6.7142857142857144</c:v>
                </c:pt>
              </c:numCache>
            </c:numRef>
          </c:val>
          <c:smooth val="0"/>
          <c:extLst>
            <c:ext xmlns:c16="http://schemas.microsoft.com/office/drawing/2014/chart" uri="{C3380CC4-5D6E-409C-BE32-E72D297353CC}">
              <c16:uniqueId val="{00000001-66B4-4CB3-BE89-473FB4E93B43}"/>
            </c:ext>
          </c:extLst>
        </c:ser>
        <c:ser>
          <c:idx val="2"/>
          <c:order val="2"/>
          <c:tx>
            <c:strRef>
              <c:f>Q04_APAK!$D$15</c:f>
              <c:strCache>
                <c:ptCount val="1"/>
                <c:pt idx="0">
                  <c:v>Changes in maintenance and operating costs of machinery and equipment</c:v>
                </c:pt>
              </c:strCache>
            </c:strRef>
          </c:tx>
          <c:spPr>
            <a:ln w="28575" cap="rnd">
              <a:solidFill>
                <a:schemeClr val="accent3"/>
              </a:solidFill>
              <a:round/>
            </a:ln>
            <a:effectLst/>
          </c:spPr>
          <c:marker>
            <c:symbol val="none"/>
          </c:marker>
          <c:val>
            <c:numRef>
              <c:f>Q04_APAK!$D$34:$D$38</c:f>
              <c:numCache>
                <c:formatCode>0.00</c:formatCode>
                <c:ptCount val="5"/>
                <c:pt idx="0">
                  <c:v>4.7142857142857144</c:v>
                </c:pt>
                <c:pt idx="1">
                  <c:v>5.4285714285714288</c:v>
                </c:pt>
                <c:pt idx="2">
                  <c:v>6.4285714285714288</c:v>
                </c:pt>
                <c:pt idx="3">
                  <c:v>6.7142857142857144</c:v>
                </c:pt>
                <c:pt idx="4">
                  <c:v>7.7142857142857144</c:v>
                </c:pt>
              </c:numCache>
            </c:numRef>
          </c:val>
          <c:smooth val="0"/>
          <c:extLst>
            <c:ext xmlns:c16="http://schemas.microsoft.com/office/drawing/2014/chart" uri="{C3380CC4-5D6E-409C-BE32-E72D297353CC}">
              <c16:uniqueId val="{00000002-66B4-4CB3-BE89-473FB4E93B43}"/>
            </c:ext>
          </c:extLst>
        </c:ser>
        <c:ser>
          <c:idx val="3"/>
          <c:order val="3"/>
          <c:tx>
            <c:strRef>
              <c:f>Q04_APAK!$H$15</c:f>
              <c:strCache>
                <c:ptCount val="1"/>
                <c:pt idx="0">
                  <c:v>Architectural and engineering services; technical testing and analysis</c:v>
                </c:pt>
              </c:strCache>
            </c:strRef>
          </c:tx>
          <c:spPr>
            <a:ln w="28575" cap="rnd">
              <a:solidFill>
                <a:schemeClr val="accent4"/>
              </a:solidFill>
              <a:round/>
            </a:ln>
            <a:effectLst/>
          </c:spPr>
          <c:marker>
            <c:symbol val="none"/>
          </c:marker>
          <c:val>
            <c:numRef>
              <c:f>Q04_APAK!$H$34:$H$38</c:f>
              <c:numCache>
                <c:formatCode>0.00</c:formatCode>
                <c:ptCount val="5"/>
                <c:pt idx="0">
                  <c:v>4.5714285714285712</c:v>
                </c:pt>
                <c:pt idx="1">
                  <c:v>5</c:v>
                </c:pt>
                <c:pt idx="2">
                  <c:v>0.5714285714285714</c:v>
                </c:pt>
                <c:pt idx="3">
                  <c:v>3.7142857142857144</c:v>
                </c:pt>
                <c:pt idx="4">
                  <c:v>5.8571428571428568</c:v>
                </c:pt>
              </c:numCache>
            </c:numRef>
          </c:val>
          <c:smooth val="0"/>
          <c:extLst>
            <c:ext xmlns:c16="http://schemas.microsoft.com/office/drawing/2014/chart" uri="{C3380CC4-5D6E-409C-BE32-E72D297353CC}">
              <c16:uniqueId val="{00000003-66B4-4CB3-BE89-473FB4E93B43}"/>
            </c:ext>
          </c:extLst>
        </c:ser>
        <c:dLbls>
          <c:showLegendKey val="0"/>
          <c:showVal val="0"/>
          <c:showCatName val="0"/>
          <c:showSerName val="0"/>
          <c:showPercent val="0"/>
          <c:showBubbleSize val="0"/>
        </c:dLbls>
        <c:smooth val="0"/>
        <c:axId val="17293471"/>
        <c:axId val="17294303"/>
      </c:lineChart>
      <c:catAx>
        <c:axId val="17293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v-LV"/>
          </a:p>
        </c:txPr>
        <c:crossAx val="17294303"/>
        <c:crosses val="autoZero"/>
        <c:auto val="1"/>
        <c:lblAlgn val="ctr"/>
        <c:lblOffset val="100"/>
        <c:noMultiLvlLbl val="0"/>
      </c:catAx>
      <c:valAx>
        <c:axId val="172943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v-LV"/>
          </a:p>
        </c:txPr>
        <c:crossAx val="1729347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lv-LV" sz="1100" b="0" i="0" baseline="0">
                <a:effectLst/>
                <a:latin typeface="Arial" panose="020B0604020202020204" pitchFamily="34" charset="0"/>
                <a:cs typeface="Arial" panose="020B0604020202020204" pitchFamily="34" charset="0"/>
              </a:rPr>
              <a:t>Forecasts of changes in the costs of transport objects by types of resources for 2021-2025</a:t>
            </a:r>
            <a:endParaRPr lang="lv-LV" sz="1100">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title>
    <c:autoTitleDeleted val="0"/>
    <c:plotArea>
      <c:layout/>
      <c:lineChart>
        <c:grouping val="standard"/>
        <c:varyColors val="0"/>
        <c:ser>
          <c:idx val="0"/>
          <c:order val="0"/>
          <c:tx>
            <c:strRef>
              <c:f>Q04_APAK!$D$7</c:f>
              <c:strCache>
                <c:ptCount val="1"/>
                <c:pt idx="0">
                  <c:v>Changes in construction material costs</c:v>
                </c:pt>
              </c:strCache>
            </c:strRef>
          </c:tx>
          <c:spPr>
            <a:ln w="28575" cap="rnd">
              <a:solidFill>
                <a:schemeClr val="accent1"/>
              </a:solidFill>
              <a:round/>
            </a:ln>
            <a:effectLst/>
          </c:spPr>
          <c:marker>
            <c:symbol val="none"/>
          </c:marker>
          <c:cat>
            <c:strRef>
              <c:f>Q04_APAK!$B$9:$B$13</c:f>
              <c:strCache>
                <c:ptCount val="5"/>
                <c:pt idx="0">
                  <c:v>2021.</c:v>
                </c:pt>
                <c:pt idx="1">
                  <c:v>2022.</c:v>
                </c:pt>
                <c:pt idx="2">
                  <c:v>2023.</c:v>
                </c:pt>
                <c:pt idx="3">
                  <c:v>2024.</c:v>
                </c:pt>
                <c:pt idx="4">
                  <c:v>2025.</c:v>
                </c:pt>
              </c:strCache>
            </c:strRef>
          </c:cat>
          <c:val>
            <c:numRef>
              <c:f>Q04_APAK!$D$44:$D$48</c:f>
              <c:numCache>
                <c:formatCode>0.00</c:formatCode>
                <c:ptCount val="5"/>
                <c:pt idx="0">
                  <c:v>10</c:v>
                </c:pt>
                <c:pt idx="1">
                  <c:v>9</c:v>
                </c:pt>
                <c:pt idx="2">
                  <c:v>7</c:v>
                </c:pt>
                <c:pt idx="3">
                  <c:v>4.5</c:v>
                </c:pt>
                <c:pt idx="4">
                  <c:v>4.25</c:v>
                </c:pt>
              </c:numCache>
            </c:numRef>
          </c:val>
          <c:smooth val="0"/>
          <c:extLst>
            <c:ext xmlns:c16="http://schemas.microsoft.com/office/drawing/2014/chart" uri="{C3380CC4-5D6E-409C-BE32-E72D297353CC}">
              <c16:uniqueId val="{00000000-31C3-44C2-8DD0-69589F9B7114}"/>
            </c:ext>
          </c:extLst>
        </c:ser>
        <c:ser>
          <c:idx val="1"/>
          <c:order val="1"/>
          <c:tx>
            <c:strRef>
              <c:f>Q04_APAK!$H$7</c:f>
              <c:strCache>
                <c:ptCount val="1"/>
                <c:pt idx="0">
                  <c:v>Changes in workers' wage costs</c:v>
                </c:pt>
              </c:strCache>
            </c:strRef>
          </c:tx>
          <c:spPr>
            <a:ln w="28575" cap="rnd">
              <a:solidFill>
                <a:schemeClr val="accent2"/>
              </a:solidFill>
              <a:round/>
            </a:ln>
            <a:effectLst/>
          </c:spPr>
          <c:marker>
            <c:symbol val="none"/>
          </c:marker>
          <c:cat>
            <c:strRef>
              <c:f>Q04_APAK!$B$9:$B$13</c:f>
              <c:strCache>
                <c:ptCount val="5"/>
                <c:pt idx="0">
                  <c:v>2021.</c:v>
                </c:pt>
                <c:pt idx="1">
                  <c:v>2022.</c:v>
                </c:pt>
                <c:pt idx="2">
                  <c:v>2023.</c:v>
                </c:pt>
                <c:pt idx="3">
                  <c:v>2024.</c:v>
                </c:pt>
                <c:pt idx="4">
                  <c:v>2025.</c:v>
                </c:pt>
              </c:strCache>
            </c:strRef>
          </c:cat>
          <c:val>
            <c:numRef>
              <c:f>Q04_APAK!$H$44:$H$48</c:f>
              <c:numCache>
                <c:formatCode>0.00</c:formatCode>
                <c:ptCount val="5"/>
                <c:pt idx="0">
                  <c:v>8</c:v>
                </c:pt>
                <c:pt idx="1">
                  <c:v>4.25</c:v>
                </c:pt>
                <c:pt idx="2">
                  <c:v>4</c:v>
                </c:pt>
                <c:pt idx="3">
                  <c:v>3</c:v>
                </c:pt>
                <c:pt idx="4">
                  <c:v>2.75</c:v>
                </c:pt>
              </c:numCache>
            </c:numRef>
          </c:val>
          <c:smooth val="0"/>
          <c:extLst>
            <c:ext xmlns:c16="http://schemas.microsoft.com/office/drawing/2014/chart" uri="{C3380CC4-5D6E-409C-BE32-E72D297353CC}">
              <c16:uniqueId val="{00000001-31C3-44C2-8DD0-69589F9B7114}"/>
            </c:ext>
          </c:extLst>
        </c:ser>
        <c:ser>
          <c:idx val="2"/>
          <c:order val="2"/>
          <c:tx>
            <c:strRef>
              <c:f>Q04_APAK!$D$15</c:f>
              <c:strCache>
                <c:ptCount val="1"/>
                <c:pt idx="0">
                  <c:v>Changes in maintenance and operating costs of machinery and equipment</c:v>
                </c:pt>
              </c:strCache>
            </c:strRef>
          </c:tx>
          <c:spPr>
            <a:ln w="28575" cap="rnd">
              <a:solidFill>
                <a:schemeClr val="accent3"/>
              </a:solidFill>
              <a:round/>
            </a:ln>
            <a:effectLst/>
          </c:spPr>
          <c:marker>
            <c:symbol val="none"/>
          </c:marker>
          <c:val>
            <c:numRef>
              <c:f>Q04_APAK!$D$52:$D$56</c:f>
              <c:numCache>
                <c:formatCode>0.00</c:formatCode>
                <c:ptCount val="5"/>
                <c:pt idx="0">
                  <c:v>10</c:v>
                </c:pt>
                <c:pt idx="1">
                  <c:v>7.6</c:v>
                </c:pt>
                <c:pt idx="2">
                  <c:v>4</c:v>
                </c:pt>
                <c:pt idx="3">
                  <c:v>3.5</c:v>
                </c:pt>
                <c:pt idx="4">
                  <c:v>2</c:v>
                </c:pt>
              </c:numCache>
            </c:numRef>
          </c:val>
          <c:smooth val="0"/>
          <c:extLst>
            <c:ext xmlns:c16="http://schemas.microsoft.com/office/drawing/2014/chart" uri="{C3380CC4-5D6E-409C-BE32-E72D297353CC}">
              <c16:uniqueId val="{00000002-31C3-44C2-8DD0-69589F9B7114}"/>
            </c:ext>
          </c:extLst>
        </c:ser>
        <c:ser>
          <c:idx val="3"/>
          <c:order val="3"/>
          <c:tx>
            <c:strRef>
              <c:f>Q04_APAK!$H$15</c:f>
              <c:strCache>
                <c:ptCount val="1"/>
                <c:pt idx="0">
                  <c:v>Architectural and engineering services; technical testing and analysis</c:v>
                </c:pt>
              </c:strCache>
            </c:strRef>
          </c:tx>
          <c:spPr>
            <a:ln w="28575" cap="rnd">
              <a:solidFill>
                <a:schemeClr val="accent4"/>
              </a:solidFill>
              <a:round/>
            </a:ln>
            <a:effectLst/>
          </c:spPr>
          <c:marker>
            <c:symbol val="none"/>
          </c:marker>
          <c:val>
            <c:numRef>
              <c:f>Q04_APAK!$H$52:$H$56</c:f>
              <c:numCache>
                <c:formatCode>0.00</c:formatCode>
                <c:ptCount val="5"/>
                <c:pt idx="0">
                  <c:v>7.833333333333333</c:v>
                </c:pt>
                <c:pt idx="1">
                  <c:v>7.2</c:v>
                </c:pt>
                <c:pt idx="2">
                  <c:v>10</c:v>
                </c:pt>
                <c:pt idx="3">
                  <c:v>8.4</c:v>
                </c:pt>
                <c:pt idx="4">
                  <c:v>10.4</c:v>
                </c:pt>
              </c:numCache>
            </c:numRef>
          </c:val>
          <c:smooth val="0"/>
          <c:extLst>
            <c:ext xmlns:c16="http://schemas.microsoft.com/office/drawing/2014/chart" uri="{C3380CC4-5D6E-409C-BE32-E72D297353CC}">
              <c16:uniqueId val="{00000003-31C3-44C2-8DD0-69589F9B7114}"/>
            </c:ext>
          </c:extLst>
        </c:ser>
        <c:dLbls>
          <c:showLegendKey val="0"/>
          <c:showVal val="0"/>
          <c:showCatName val="0"/>
          <c:showSerName val="0"/>
          <c:showPercent val="0"/>
          <c:showBubbleSize val="0"/>
        </c:dLbls>
        <c:smooth val="0"/>
        <c:axId val="17293471"/>
        <c:axId val="17294303"/>
      </c:lineChart>
      <c:catAx>
        <c:axId val="17293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v-LV"/>
          </a:p>
        </c:txPr>
        <c:crossAx val="17294303"/>
        <c:crosses val="autoZero"/>
        <c:auto val="1"/>
        <c:lblAlgn val="ctr"/>
        <c:lblOffset val="100"/>
        <c:noMultiLvlLbl val="0"/>
      </c:catAx>
      <c:valAx>
        <c:axId val="172943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v-LV"/>
          </a:p>
        </c:txPr>
        <c:crossAx val="1729347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lv-LV" sz="1100" b="0" i="0" baseline="0">
                <a:effectLst/>
                <a:latin typeface="Arial" panose="020B0604020202020204" pitchFamily="34" charset="0"/>
                <a:cs typeface="Arial" panose="020B0604020202020204" pitchFamily="34" charset="0"/>
              </a:rPr>
              <a:t>Forecasts of changes in urban infrastructure costs by types of resources for 2021-2025</a:t>
            </a:r>
            <a:endParaRPr lang="lv-LV" sz="1100">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title>
    <c:autoTitleDeleted val="0"/>
    <c:plotArea>
      <c:layout/>
      <c:lineChart>
        <c:grouping val="standard"/>
        <c:varyColors val="0"/>
        <c:ser>
          <c:idx val="0"/>
          <c:order val="0"/>
          <c:tx>
            <c:strRef>
              <c:f>Q04_APAK!$D$7</c:f>
              <c:strCache>
                <c:ptCount val="1"/>
                <c:pt idx="0">
                  <c:v>Changes in construction material costs</c:v>
                </c:pt>
              </c:strCache>
            </c:strRef>
          </c:tx>
          <c:spPr>
            <a:ln w="28575" cap="rnd">
              <a:solidFill>
                <a:schemeClr val="accent1"/>
              </a:solidFill>
              <a:round/>
            </a:ln>
            <a:effectLst/>
          </c:spPr>
          <c:marker>
            <c:symbol val="none"/>
          </c:marker>
          <c:cat>
            <c:strRef>
              <c:f>Q04_APAK!$B$9:$B$13</c:f>
              <c:strCache>
                <c:ptCount val="5"/>
                <c:pt idx="0">
                  <c:v>2021.</c:v>
                </c:pt>
                <c:pt idx="1">
                  <c:v>2022.</c:v>
                </c:pt>
                <c:pt idx="2">
                  <c:v>2023.</c:v>
                </c:pt>
                <c:pt idx="3">
                  <c:v>2024.</c:v>
                </c:pt>
                <c:pt idx="4">
                  <c:v>2025.</c:v>
                </c:pt>
              </c:strCache>
            </c:strRef>
          </c:cat>
          <c:val>
            <c:numRef>
              <c:f>Q04_APAK!$D$64:$D$68</c:f>
              <c:numCache>
                <c:formatCode>0.00</c:formatCode>
                <c:ptCount val="5"/>
                <c:pt idx="0">
                  <c:v>15.285714285714286</c:v>
                </c:pt>
                <c:pt idx="1">
                  <c:v>10.428571428571429</c:v>
                </c:pt>
                <c:pt idx="2">
                  <c:v>6.1428571428571432</c:v>
                </c:pt>
                <c:pt idx="3">
                  <c:v>4.2857142857142856</c:v>
                </c:pt>
                <c:pt idx="4">
                  <c:v>3.8571428571428572</c:v>
                </c:pt>
              </c:numCache>
            </c:numRef>
          </c:val>
          <c:smooth val="0"/>
          <c:extLst>
            <c:ext xmlns:c16="http://schemas.microsoft.com/office/drawing/2014/chart" uri="{C3380CC4-5D6E-409C-BE32-E72D297353CC}">
              <c16:uniqueId val="{00000000-4E6E-4372-A2CE-B91543E142D6}"/>
            </c:ext>
          </c:extLst>
        </c:ser>
        <c:ser>
          <c:idx val="1"/>
          <c:order val="1"/>
          <c:tx>
            <c:strRef>
              <c:f>Q04_APAK!$H$7</c:f>
              <c:strCache>
                <c:ptCount val="1"/>
                <c:pt idx="0">
                  <c:v>Changes in workers' wage costs</c:v>
                </c:pt>
              </c:strCache>
            </c:strRef>
          </c:tx>
          <c:spPr>
            <a:ln w="28575" cap="rnd">
              <a:solidFill>
                <a:schemeClr val="accent2"/>
              </a:solidFill>
              <a:round/>
            </a:ln>
            <a:effectLst/>
          </c:spPr>
          <c:marker>
            <c:symbol val="none"/>
          </c:marker>
          <c:cat>
            <c:strRef>
              <c:f>Q04_APAK!$B$9:$B$13</c:f>
              <c:strCache>
                <c:ptCount val="5"/>
                <c:pt idx="0">
                  <c:v>2021.</c:v>
                </c:pt>
                <c:pt idx="1">
                  <c:v>2022.</c:v>
                </c:pt>
                <c:pt idx="2">
                  <c:v>2023.</c:v>
                </c:pt>
                <c:pt idx="3">
                  <c:v>2024.</c:v>
                </c:pt>
                <c:pt idx="4">
                  <c:v>2025.</c:v>
                </c:pt>
              </c:strCache>
            </c:strRef>
          </c:cat>
          <c:val>
            <c:numRef>
              <c:f>Q04_APAK!$H$64:$H$68</c:f>
              <c:numCache>
                <c:formatCode>0.00</c:formatCode>
                <c:ptCount val="5"/>
                <c:pt idx="0">
                  <c:v>7.5714285714285712</c:v>
                </c:pt>
                <c:pt idx="1">
                  <c:v>10</c:v>
                </c:pt>
                <c:pt idx="2">
                  <c:v>7.2857142857142856</c:v>
                </c:pt>
                <c:pt idx="3">
                  <c:v>7</c:v>
                </c:pt>
                <c:pt idx="4">
                  <c:v>5.5714285714285712</c:v>
                </c:pt>
              </c:numCache>
            </c:numRef>
          </c:val>
          <c:smooth val="0"/>
          <c:extLst>
            <c:ext xmlns:c16="http://schemas.microsoft.com/office/drawing/2014/chart" uri="{C3380CC4-5D6E-409C-BE32-E72D297353CC}">
              <c16:uniqueId val="{00000001-4E6E-4372-A2CE-B91543E142D6}"/>
            </c:ext>
          </c:extLst>
        </c:ser>
        <c:ser>
          <c:idx val="2"/>
          <c:order val="2"/>
          <c:tx>
            <c:strRef>
              <c:f>Q04_APAK!$D$15</c:f>
              <c:strCache>
                <c:ptCount val="1"/>
                <c:pt idx="0">
                  <c:v>Changes in maintenance and operating costs of machinery and equipment</c:v>
                </c:pt>
              </c:strCache>
            </c:strRef>
          </c:tx>
          <c:spPr>
            <a:ln w="28575" cap="rnd">
              <a:solidFill>
                <a:schemeClr val="accent3"/>
              </a:solidFill>
              <a:round/>
            </a:ln>
            <a:effectLst/>
          </c:spPr>
          <c:marker>
            <c:symbol val="none"/>
          </c:marker>
          <c:val>
            <c:numRef>
              <c:f>Q04_APAK!$D$72:$D$76</c:f>
              <c:numCache>
                <c:formatCode>0.00</c:formatCode>
                <c:ptCount val="5"/>
                <c:pt idx="0">
                  <c:v>6.5714285714285712</c:v>
                </c:pt>
                <c:pt idx="1">
                  <c:v>5.5714285714285712</c:v>
                </c:pt>
                <c:pt idx="2">
                  <c:v>5.1428571428571432</c:v>
                </c:pt>
                <c:pt idx="3">
                  <c:v>4.8571428571428568</c:v>
                </c:pt>
                <c:pt idx="4">
                  <c:v>4.4285714285714288</c:v>
                </c:pt>
              </c:numCache>
            </c:numRef>
          </c:val>
          <c:smooth val="0"/>
          <c:extLst>
            <c:ext xmlns:c16="http://schemas.microsoft.com/office/drawing/2014/chart" uri="{C3380CC4-5D6E-409C-BE32-E72D297353CC}">
              <c16:uniqueId val="{00000002-4E6E-4372-A2CE-B91543E142D6}"/>
            </c:ext>
          </c:extLst>
        </c:ser>
        <c:ser>
          <c:idx val="3"/>
          <c:order val="3"/>
          <c:tx>
            <c:strRef>
              <c:f>Q04_APAK!$H$15</c:f>
              <c:strCache>
                <c:ptCount val="1"/>
                <c:pt idx="0">
                  <c:v>Architectural and engineering services; technical testing and analysis</c:v>
                </c:pt>
              </c:strCache>
            </c:strRef>
          </c:tx>
          <c:spPr>
            <a:ln w="28575" cap="rnd">
              <a:solidFill>
                <a:schemeClr val="accent4"/>
              </a:solidFill>
              <a:round/>
            </a:ln>
            <a:effectLst/>
          </c:spPr>
          <c:marker>
            <c:symbol val="none"/>
          </c:marker>
          <c:val>
            <c:numRef>
              <c:f>Q04_APAK!$H$72:$H$76</c:f>
              <c:numCache>
                <c:formatCode>0.00</c:formatCode>
                <c:ptCount val="5"/>
                <c:pt idx="0">
                  <c:v>7.7142857142857144</c:v>
                </c:pt>
                <c:pt idx="1">
                  <c:v>8</c:v>
                </c:pt>
                <c:pt idx="2">
                  <c:v>7.8571428571428568</c:v>
                </c:pt>
                <c:pt idx="3">
                  <c:v>6.8571428571428568</c:v>
                </c:pt>
                <c:pt idx="4">
                  <c:v>6</c:v>
                </c:pt>
              </c:numCache>
            </c:numRef>
          </c:val>
          <c:smooth val="0"/>
          <c:extLst>
            <c:ext xmlns:c16="http://schemas.microsoft.com/office/drawing/2014/chart" uri="{C3380CC4-5D6E-409C-BE32-E72D297353CC}">
              <c16:uniqueId val="{00000003-4E6E-4372-A2CE-B91543E142D6}"/>
            </c:ext>
          </c:extLst>
        </c:ser>
        <c:dLbls>
          <c:showLegendKey val="0"/>
          <c:showVal val="0"/>
          <c:showCatName val="0"/>
          <c:showSerName val="0"/>
          <c:showPercent val="0"/>
          <c:showBubbleSize val="0"/>
        </c:dLbls>
        <c:smooth val="0"/>
        <c:axId val="17293471"/>
        <c:axId val="17294303"/>
      </c:lineChart>
      <c:catAx>
        <c:axId val="17293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v-LV"/>
          </a:p>
        </c:txPr>
        <c:crossAx val="17294303"/>
        <c:crosses val="autoZero"/>
        <c:auto val="1"/>
        <c:lblAlgn val="ctr"/>
        <c:lblOffset val="100"/>
        <c:noMultiLvlLbl val="0"/>
      </c:catAx>
      <c:valAx>
        <c:axId val="172943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v-LV"/>
          </a:p>
        </c:txPr>
        <c:crossAx val="1729347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r>
              <a:rPr lang="lv-LV" sz="1100">
                <a:latin typeface="Arial" panose="020B0604020202020204" pitchFamily="34" charset="0"/>
                <a:cs typeface="Arial" panose="020B0604020202020204" pitchFamily="34" charset="0"/>
              </a:rPr>
              <a:t>Forecasts of changes in the costs of specialized construction works by types of resources for 2021-2025</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endParaRPr lang="lv-LV"/>
        </a:p>
      </c:txPr>
    </c:title>
    <c:autoTitleDeleted val="0"/>
    <c:plotArea>
      <c:layout/>
      <c:lineChart>
        <c:grouping val="standard"/>
        <c:varyColors val="0"/>
        <c:ser>
          <c:idx val="0"/>
          <c:order val="0"/>
          <c:tx>
            <c:strRef>
              <c:f>Q04_APAK!$D$7</c:f>
              <c:strCache>
                <c:ptCount val="1"/>
                <c:pt idx="0">
                  <c:v>Changes in construction material costs</c:v>
                </c:pt>
              </c:strCache>
            </c:strRef>
          </c:tx>
          <c:spPr>
            <a:ln w="28575" cap="rnd">
              <a:solidFill>
                <a:schemeClr val="accent1"/>
              </a:solidFill>
              <a:round/>
            </a:ln>
            <a:effectLst/>
          </c:spPr>
          <c:marker>
            <c:symbol val="none"/>
          </c:marker>
          <c:cat>
            <c:strRef>
              <c:f>Q04_APAK!$B$9:$B$13</c:f>
              <c:strCache>
                <c:ptCount val="5"/>
                <c:pt idx="0">
                  <c:v>2021.</c:v>
                </c:pt>
                <c:pt idx="1">
                  <c:v>2022.</c:v>
                </c:pt>
                <c:pt idx="2">
                  <c:v>2023.</c:v>
                </c:pt>
                <c:pt idx="3">
                  <c:v>2024.</c:v>
                </c:pt>
                <c:pt idx="4">
                  <c:v>2025.</c:v>
                </c:pt>
              </c:strCache>
            </c:strRef>
          </c:cat>
          <c:val>
            <c:numRef>
              <c:f>Q04_APAK!$D$82:$D$86</c:f>
              <c:numCache>
                <c:formatCode>0.00</c:formatCode>
                <c:ptCount val="5"/>
                <c:pt idx="0">
                  <c:v>15.833333333333334</c:v>
                </c:pt>
                <c:pt idx="1">
                  <c:v>6.7142857142857144</c:v>
                </c:pt>
                <c:pt idx="2">
                  <c:v>4.7142857142857144</c:v>
                </c:pt>
                <c:pt idx="3">
                  <c:v>4.2857142857142856</c:v>
                </c:pt>
                <c:pt idx="4">
                  <c:v>3.4285714285714284</c:v>
                </c:pt>
              </c:numCache>
            </c:numRef>
          </c:val>
          <c:smooth val="0"/>
          <c:extLst>
            <c:ext xmlns:c16="http://schemas.microsoft.com/office/drawing/2014/chart" uri="{C3380CC4-5D6E-409C-BE32-E72D297353CC}">
              <c16:uniqueId val="{00000000-A28A-41C0-8B07-744A1BE90F1D}"/>
            </c:ext>
          </c:extLst>
        </c:ser>
        <c:ser>
          <c:idx val="1"/>
          <c:order val="1"/>
          <c:tx>
            <c:strRef>
              <c:f>Q04_APAK!$H$7</c:f>
              <c:strCache>
                <c:ptCount val="1"/>
                <c:pt idx="0">
                  <c:v>Changes in workers' wage costs</c:v>
                </c:pt>
              </c:strCache>
            </c:strRef>
          </c:tx>
          <c:spPr>
            <a:ln w="28575" cap="rnd">
              <a:solidFill>
                <a:schemeClr val="accent2"/>
              </a:solidFill>
              <a:round/>
            </a:ln>
            <a:effectLst/>
          </c:spPr>
          <c:marker>
            <c:symbol val="none"/>
          </c:marker>
          <c:cat>
            <c:strRef>
              <c:f>Q04_APAK!$B$9:$B$13</c:f>
              <c:strCache>
                <c:ptCount val="5"/>
                <c:pt idx="0">
                  <c:v>2021.</c:v>
                </c:pt>
                <c:pt idx="1">
                  <c:v>2022.</c:v>
                </c:pt>
                <c:pt idx="2">
                  <c:v>2023.</c:v>
                </c:pt>
                <c:pt idx="3">
                  <c:v>2024.</c:v>
                </c:pt>
                <c:pt idx="4">
                  <c:v>2025.</c:v>
                </c:pt>
              </c:strCache>
            </c:strRef>
          </c:cat>
          <c:val>
            <c:numRef>
              <c:f>Q04_APAK!$H$82:$H$86</c:f>
              <c:numCache>
                <c:formatCode>0.00</c:formatCode>
                <c:ptCount val="5"/>
                <c:pt idx="0">
                  <c:v>5.1428571428571432</c:v>
                </c:pt>
                <c:pt idx="1">
                  <c:v>8.2857142857142865</c:v>
                </c:pt>
                <c:pt idx="2">
                  <c:v>5.5714285714285712</c:v>
                </c:pt>
                <c:pt idx="3">
                  <c:v>5.4285714285714288</c:v>
                </c:pt>
                <c:pt idx="4">
                  <c:v>4.2857142857142856</c:v>
                </c:pt>
              </c:numCache>
            </c:numRef>
          </c:val>
          <c:smooth val="0"/>
          <c:extLst>
            <c:ext xmlns:c16="http://schemas.microsoft.com/office/drawing/2014/chart" uri="{C3380CC4-5D6E-409C-BE32-E72D297353CC}">
              <c16:uniqueId val="{00000001-A28A-41C0-8B07-744A1BE90F1D}"/>
            </c:ext>
          </c:extLst>
        </c:ser>
        <c:ser>
          <c:idx val="2"/>
          <c:order val="2"/>
          <c:tx>
            <c:strRef>
              <c:f>Q04_APAK!$D$15</c:f>
              <c:strCache>
                <c:ptCount val="1"/>
                <c:pt idx="0">
                  <c:v>Changes in maintenance and operating costs of machinery and equipment</c:v>
                </c:pt>
              </c:strCache>
            </c:strRef>
          </c:tx>
          <c:spPr>
            <a:ln w="28575" cap="rnd">
              <a:solidFill>
                <a:schemeClr val="accent3"/>
              </a:solidFill>
              <a:round/>
            </a:ln>
            <a:effectLst/>
          </c:spPr>
          <c:marker>
            <c:symbol val="none"/>
          </c:marker>
          <c:val>
            <c:numRef>
              <c:f>Q04_APAK!$D$90:$D$94</c:f>
              <c:numCache>
                <c:formatCode>0.00</c:formatCode>
                <c:ptCount val="5"/>
                <c:pt idx="0">
                  <c:v>7.4285714285714288</c:v>
                </c:pt>
                <c:pt idx="1">
                  <c:v>8.2857142857142865</c:v>
                </c:pt>
                <c:pt idx="2">
                  <c:v>5.7142857142857144</c:v>
                </c:pt>
                <c:pt idx="3">
                  <c:v>5</c:v>
                </c:pt>
                <c:pt idx="4">
                  <c:v>4</c:v>
                </c:pt>
              </c:numCache>
            </c:numRef>
          </c:val>
          <c:smooth val="0"/>
          <c:extLst>
            <c:ext xmlns:c16="http://schemas.microsoft.com/office/drawing/2014/chart" uri="{C3380CC4-5D6E-409C-BE32-E72D297353CC}">
              <c16:uniqueId val="{00000002-A28A-41C0-8B07-744A1BE90F1D}"/>
            </c:ext>
          </c:extLst>
        </c:ser>
        <c:ser>
          <c:idx val="3"/>
          <c:order val="3"/>
          <c:tx>
            <c:strRef>
              <c:f>Q04_APAK!$H$15</c:f>
              <c:strCache>
                <c:ptCount val="1"/>
                <c:pt idx="0">
                  <c:v>Architectural and engineering services; technical testing and analysis</c:v>
                </c:pt>
              </c:strCache>
            </c:strRef>
          </c:tx>
          <c:spPr>
            <a:ln w="28575" cap="rnd">
              <a:solidFill>
                <a:schemeClr val="accent4"/>
              </a:solidFill>
              <a:round/>
            </a:ln>
            <a:effectLst/>
          </c:spPr>
          <c:marker>
            <c:symbol val="none"/>
          </c:marker>
          <c:val>
            <c:numRef>
              <c:f>Q04_APAK!$H$90:$H$94</c:f>
              <c:numCache>
                <c:formatCode>0.00</c:formatCode>
                <c:ptCount val="5"/>
                <c:pt idx="0">
                  <c:v>7.4285714285714288</c:v>
                </c:pt>
                <c:pt idx="1">
                  <c:v>7.7142857142857144</c:v>
                </c:pt>
                <c:pt idx="2">
                  <c:v>6.4285714285714288</c:v>
                </c:pt>
                <c:pt idx="3">
                  <c:v>4.5714285714285712</c:v>
                </c:pt>
                <c:pt idx="4">
                  <c:v>4</c:v>
                </c:pt>
              </c:numCache>
            </c:numRef>
          </c:val>
          <c:smooth val="0"/>
          <c:extLst>
            <c:ext xmlns:c16="http://schemas.microsoft.com/office/drawing/2014/chart" uri="{C3380CC4-5D6E-409C-BE32-E72D297353CC}">
              <c16:uniqueId val="{00000003-A28A-41C0-8B07-744A1BE90F1D}"/>
            </c:ext>
          </c:extLst>
        </c:ser>
        <c:dLbls>
          <c:showLegendKey val="0"/>
          <c:showVal val="0"/>
          <c:showCatName val="0"/>
          <c:showSerName val="0"/>
          <c:showPercent val="0"/>
          <c:showBubbleSize val="0"/>
        </c:dLbls>
        <c:smooth val="0"/>
        <c:axId val="17293471"/>
        <c:axId val="17294303"/>
      </c:lineChart>
      <c:catAx>
        <c:axId val="17293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v-LV"/>
          </a:p>
        </c:txPr>
        <c:crossAx val="17294303"/>
        <c:crosses val="autoZero"/>
        <c:auto val="1"/>
        <c:lblAlgn val="ctr"/>
        <c:lblOffset val="100"/>
        <c:noMultiLvlLbl val="0"/>
      </c:catAx>
      <c:valAx>
        <c:axId val="172943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v-LV"/>
          </a:p>
        </c:txPr>
        <c:crossAx val="1729347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lv-LV" sz="1000"/>
              <a:t>Changes in construction material costs and their forecasts as a percentage of the previous year</a:t>
            </a:r>
            <a:br>
              <a:rPr lang="lv-LV" sz="1000"/>
            </a:br>
            <a:r>
              <a:rPr lang="lv-LV" sz="1000"/>
              <a:t>Basic construction materials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manualLayout>
          <c:layoutTarget val="inner"/>
          <c:xMode val="edge"/>
          <c:yMode val="edge"/>
          <c:x val="0.29319563315455127"/>
          <c:y val="0.2143035505978419"/>
          <c:w val="0.65700635246681116"/>
          <c:h val="0.61150511567998445"/>
        </c:manualLayout>
      </c:layout>
      <c:barChart>
        <c:barDir val="bar"/>
        <c:grouping val="clustered"/>
        <c:varyColors val="0"/>
        <c:ser>
          <c:idx val="0"/>
          <c:order val="0"/>
          <c:tx>
            <c:strRef>
              <c:f>Q04_Tirg!$G$8</c:f>
              <c:strCache>
                <c:ptCount val="1"/>
                <c:pt idx="0">
                  <c:v>2020.</c:v>
                </c:pt>
              </c:strCache>
            </c:strRef>
          </c:tx>
          <c:spPr>
            <a:solidFill>
              <a:schemeClr val="accent1"/>
            </a:solidFill>
            <a:ln>
              <a:noFill/>
            </a:ln>
            <a:effectLst/>
          </c:spPr>
          <c:invertIfNegative val="0"/>
          <c:cat>
            <c:strRef>
              <c:f>Q04_Tirg!$A$10:$A$16</c:f>
              <c:strCache>
                <c:ptCount val="7"/>
                <c:pt idx="0">
                  <c:v>Cement, concrete, aggregates</c:v>
                </c:pt>
                <c:pt idx="1">
                  <c:v>Bituminous products</c:v>
                </c:pt>
                <c:pt idx="2">
                  <c:v>Sand, gravel, dolomite, clay</c:v>
                </c:pt>
                <c:pt idx="3">
                  <c:v>Fittings of metal, including rods</c:v>
                </c:pt>
                <c:pt idx="4">
                  <c:v>Timber</c:v>
                </c:pt>
                <c:pt idx="5">
                  <c:v>Glass products</c:v>
                </c:pt>
                <c:pt idx="6">
                  <c:v>Other (polymer products, rubber, etc.)</c:v>
                </c:pt>
              </c:strCache>
            </c:strRef>
          </c:cat>
          <c:val>
            <c:numRef>
              <c:f>Q04_Tirg!$G$10:$G$16</c:f>
              <c:numCache>
                <c:formatCode>0.00</c:formatCode>
                <c:ptCount val="7"/>
                <c:pt idx="0">
                  <c:v>3</c:v>
                </c:pt>
                <c:pt idx="1">
                  <c:v>4.5</c:v>
                </c:pt>
                <c:pt idx="2">
                  <c:v>2.4</c:v>
                </c:pt>
                <c:pt idx="3">
                  <c:v>11.25</c:v>
                </c:pt>
                <c:pt idx="4">
                  <c:v>13</c:v>
                </c:pt>
                <c:pt idx="5">
                  <c:v>3.6666666666666665</c:v>
                </c:pt>
                <c:pt idx="6">
                  <c:v>10</c:v>
                </c:pt>
              </c:numCache>
            </c:numRef>
          </c:val>
          <c:extLst>
            <c:ext xmlns:c16="http://schemas.microsoft.com/office/drawing/2014/chart" uri="{C3380CC4-5D6E-409C-BE32-E72D297353CC}">
              <c16:uniqueId val="{00000000-3479-46AD-BBFF-B1F150B7915E}"/>
            </c:ext>
          </c:extLst>
        </c:ser>
        <c:ser>
          <c:idx val="1"/>
          <c:order val="1"/>
          <c:tx>
            <c:strRef>
              <c:f>Q04_Tirg!$H$8</c:f>
              <c:strCache>
                <c:ptCount val="1"/>
                <c:pt idx="0">
                  <c:v>2021.</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Q04_Tirg!$A$10:$A$16</c:f>
              <c:strCache>
                <c:ptCount val="7"/>
                <c:pt idx="0">
                  <c:v>Cement, concrete, aggregates</c:v>
                </c:pt>
                <c:pt idx="1">
                  <c:v>Bituminous products</c:v>
                </c:pt>
                <c:pt idx="2">
                  <c:v>Sand, gravel, dolomite, clay</c:v>
                </c:pt>
                <c:pt idx="3">
                  <c:v>Fittings of metal, including rods</c:v>
                </c:pt>
                <c:pt idx="4">
                  <c:v>Timber</c:v>
                </c:pt>
                <c:pt idx="5">
                  <c:v>Glass products</c:v>
                </c:pt>
                <c:pt idx="6">
                  <c:v>Other (polymer products, rubber, etc.)</c:v>
                </c:pt>
              </c:strCache>
            </c:strRef>
          </c:cat>
          <c:val>
            <c:numRef>
              <c:f>Q04_Tirg!$H$10:$H$16</c:f>
              <c:numCache>
                <c:formatCode>0.00</c:formatCode>
                <c:ptCount val="7"/>
                <c:pt idx="0">
                  <c:v>6.2</c:v>
                </c:pt>
                <c:pt idx="1">
                  <c:v>6</c:v>
                </c:pt>
                <c:pt idx="2">
                  <c:v>7.6</c:v>
                </c:pt>
                <c:pt idx="3">
                  <c:v>24.25</c:v>
                </c:pt>
                <c:pt idx="4">
                  <c:v>30</c:v>
                </c:pt>
                <c:pt idx="5">
                  <c:v>4</c:v>
                </c:pt>
                <c:pt idx="6">
                  <c:v>6.75</c:v>
                </c:pt>
              </c:numCache>
            </c:numRef>
          </c:val>
          <c:extLst>
            <c:ext xmlns:c16="http://schemas.microsoft.com/office/drawing/2014/chart" uri="{C3380CC4-5D6E-409C-BE32-E72D297353CC}">
              <c16:uniqueId val="{00000001-3479-46AD-BBFF-B1F150B7915E}"/>
            </c:ext>
          </c:extLst>
        </c:ser>
        <c:ser>
          <c:idx val="2"/>
          <c:order val="2"/>
          <c:tx>
            <c:strRef>
              <c:f>Q04_Tirg!$I$8</c:f>
              <c:strCache>
                <c:ptCount val="1"/>
                <c:pt idx="0">
                  <c:v>2022.-2025.</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Q04_Tirg!$A$10:$A$16</c:f>
              <c:strCache>
                <c:ptCount val="7"/>
                <c:pt idx="0">
                  <c:v>Cement, concrete, aggregates</c:v>
                </c:pt>
                <c:pt idx="1">
                  <c:v>Bituminous products</c:v>
                </c:pt>
                <c:pt idx="2">
                  <c:v>Sand, gravel, dolomite, clay</c:v>
                </c:pt>
                <c:pt idx="3">
                  <c:v>Fittings of metal, including rods</c:v>
                </c:pt>
                <c:pt idx="4">
                  <c:v>Timber</c:v>
                </c:pt>
                <c:pt idx="5">
                  <c:v>Glass products</c:v>
                </c:pt>
                <c:pt idx="6">
                  <c:v>Other (polymer products, rubber, etc.)</c:v>
                </c:pt>
              </c:strCache>
            </c:strRef>
          </c:cat>
          <c:val>
            <c:numRef>
              <c:f>Q04_Tirg!$I$10:$I$16</c:f>
              <c:numCache>
                <c:formatCode>0.00</c:formatCode>
                <c:ptCount val="7"/>
                <c:pt idx="0">
                  <c:v>4.5</c:v>
                </c:pt>
                <c:pt idx="1">
                  <c:v>4.666666666666667</c:v>
                </c:pt>
                <c:pt idx="2">
                  <c:v>6.75</c:v>
                </c:pt>
                <c:pt idx="3">
                  <c:v>6.666666666666667</c:v>
                </c:pt>
                <c:pt idx="4">
                  <c:v>5.333333333333333</c:v>
                </c:pt>
                <c:pt idx="5">
                  <c:v>4</c:v>
                </c:pt>
                <c:pt idx="6">
                  <c:v>4</c:v>
                </c:pt>
              </c:numCache>
            </c:numRef>
          </c:val>
          <c:extLst>
            <c:ext xmlns:c16="http://schemas.microsoft.com/office/drawing/2014/chart" uri="{C3380CC4-5D6E-409C-BE32-E72D297353CC}">
              <c16:uniqueId val="{00000002-3479-46AD-BBFF-B1F150B7915E}"/>
            </c:ext>
          </c:extLst>
        </c:ser>
        <c:dLbls>
          <c:showLegendKey val="0"/>
          <c:showVal val="0"/>
          <c:showCatName val="0"/>
          <c:showSerName val="0"/>
          <c:showPercent val="0"/>
          <c:showBubbleSize val="0"/>
        </c:dLbls>
        <c:gapWidth val="100"/>
        <c:axId val="735319696"/>
        <c:axId val="735318448"/>
      </c:barChart>
      <c:dateAx>
        <c:axId val="7353196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735318448"/>
        <c:crosses val="autoZero"/>
        <c:auto val="0"/>
        <c:lblOffset val="100"/>
        <c:baseTimeUnit val="days"/>
      </c:dateAx>
      <c:valAx>
        <c:axId val="735318448"/>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35319696"/>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lv-LV" sz="1000"/>
              <a:t>Changes in construction material costs and their forecasts as a percentage of the previous year </a:t>
            </a:r>
          </a:p>
          <a:p>
            <a:pPr>
              <a:defRPr sz="1000"/>
            </a:pPr>
            <a:r>
              <a:rPr lang="lv-LV" sz="1000"/>
              <a:t>Finishing materials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Q04_Tirg!$G$8</c:f>
              <c:strCache>
                <c:ptCount val="1"/>
                <c:pt idx="0">
                  <c:v>2020.</c:v>
                </c:pt>
              </c:strCache>
            </c:strRef>
          </c:tx>
          <c:spPr>
            <a:solidFill>
              <a:schemeClr val="accent1"/>
            </a:solidFill>
            <a:ln>
              <a:noFill/>
            </a:ln>
            <a:effectLst/>
          </c:spPr>
          <c:invertIfNegative val="0"/>
          <c:cat>
            <c:strRef>
              <c:f>Q04_Tirg!$A$18:$A$20</c:f>
              <c:strCache>
                <c:ptCount val="3"/>
                <c:pt idx="0">
                  <c:v>Exterior finishing materials (roofing, insulation, cladding, doors, windows, finishes, etc.)</c:v>
                </c:pt>
                <c:pt idx="1">
                  <c:v>Interior finishing materials (walls, floor coverings, ceilings, wooden products, kitchen finishes, sanitary ware, etc.)</c:v>
                </c:pt>
                <c:pt idx="2">
                  <c:v>Other materials (paints, coatings, adhesives, construction accessories - fasteners, screws, etc.)</c:v>
                </c:pt>
              </c:strCache>
            </c:strRef>
          </c:cat>
          <c:val>
            <c:numRef>
              <c:f>Q04_Tirg!$G$18:$G$20</c:f>
              <c:numCache>
                <c:formatCode>0.00</c:formatCode>
                <c:ptCount val="3"/>
                <c:pt idx="0">
                  <c:v>2.3333333333333335</c:v>
                </c:pt>
                <c:pt idx="1">
                  <c:v>3</c:v>
                </c:pt>
                <c:pt idx="2">
                  <c:v>3.3333333333333335</c:v>
                </c:pt>
              </c:numCache>
            </c:numRef>
          </c:val>
          <c:extLst>
            <c:ext xmlns:c16="http://schemas.microsoft.com/office/drawing/2014/chart" uri="{C3380CC4-5D6E-409C-BE32-E72D297353CC}">
              <c16:uniqueId val="{00000000-2683-4CB5-BFFD-5DC4F98567C9}"/>
            </c:ext>
          </c:extLst>
        </c:ser>
        <c:ser>
          <c:idx val="1"/>
          <c:order val="1"/>
          <c:tx>
            <c:strRef>
              <c:f>Q04_Tirg!$H$8</c:f>
              <c:strCache>
                <c:ptCount val="1"/>
                <c:pt idx="0">
                  <c:v>2021.</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Q04_Tirg!$A$18:$A$20</c:f>
              <c:strCache>
                <c:ptCount val="3"/>
                <c:pt idx="0">
                  <c:v>Exterior finishing materials (roofing, insulation, cladding, doors, windows, finishes, etc.)</c:v>
                </c:pt>
                <c:pt idx="1">
                  <c:v>Interior finishing materials (walls, floor coverings, ceilings, wooden products, kitchen finishes, sanitary ware, etc.)</c:v>
                </c:pt>
                <c:pt idx="2">
                  <c:v>Other materials (paints, coatings, adhesives, construction accessories - fasteners, screws, etc.)</c:v>
                </c:pt>
              </c:strCache>
            </c:strRef>
          </c:cat>
          <c:val>
            <c:numRef>
              <c:f>Q04_Tirg!$H$18:$H$20</c:f>
              <c:numCache>
                <c:formatCode>0.00</c:formatCode>
                <c:ptCount val="3"/>
                <c:pt idx="0">
                  <c:v>6.333333333333333</c:v>
                </c:pt>
                <c:pt idx="1">
                  <c:v>11</c:v>
                </c:pt>
                <c:pt idx="2">
                  <c:v>9.3333333333333339</c:v>
                </c:pt>
              </c:numCache>
            </c:numRef>
          </c:val>
          <c:extLst>
            <c:ext xmlns:c16="http://schemas.microsoft.com/office/drawing/2014/chart" uri="{C3380CC4-5D6E-409C-BE32-E72D297353CC}">
              <c16:uniqueId val="{00000001-2683-4CB5-BFFD-5DC4F98567C9}"/>
            </c:ext>
          </c:extLst>
        </c:ser>
        <c:ser>
          <c:idx val="2"/>
          <c:order val="2"/>
          <c:tx>
            <c:strRef>
              <c:f>Q04_Tirg!$I$8</c:f>
              <c:strCache>
                <c:ptCount val="1"/>
                <c:pt idx="0">
                  <c:v>2022.-2025.</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Q04_Tirg!$A$18:$A$20</c:f>
              <c:strCache>
                <c:ptCount val="3"/>
                <c:pt idx="0">
                  <c:v>Exterior finishing materials (roofing, insulation, cladding, doors, windows, finishes, etc.)</c:v>
                </c:pt>
                <c:pt idx="1">
                  <c:v>Interior finishing materials (walls, floor coverings, ceilings, wooden products, kitchen finishes, sanitary ware, etc.)</c:v>
                </c:pt>
                <c:pt idx="2">
                  <c:v>Other materials (paints, coatings, adhesives, construction accessories - fasteners, screws, etc.)</c:v>
                </c:pt>
              </c:strCache>
            </c:strRef>
          </c:cat>
          <c:val>
            <c:numRef>
              <c:f>Q04_Tirg!$I$18:$I$20</c:f>
              <c:numCache>
                <c:formatCode>0.00</c:formatCode>
                <c:ptCount val="3"/>
                <c:pt idx="0">
                  <c:v>6</c:v>
                </c:pt>
                <c:pt idx="1">
                  <c:v>6.333333333333333</c:v>
                </c:pt>
                <c:pt idx="2">
                  <c:v>6.333333333333333</c:v>
                </c:pt>
              </c:numCache>
            </c:numRef>
          </c:val>
          <c:extLst>
            <c:ext xmlns:c16="http://schemas.microsoft.com/office/drawing/2014/chart" uri="{C3380CC4-5D6E-409C-BE32-E72D297353CC}">
              <c16:uniqueId val="{00000002-2683-4CB5-BFFD-5DC4F98567C9}"/>
            </c:ext>
          </c:extLst>
        </c:ser>
        <c:dLbls>
          <c:showLegendKey val="0"/>
          <c:showVal val="0"/>
          <c:showCatName val="0"/>
          <c:showSerName val="0"/>
          <c:showPercent val="0"/>
          <c:showBubbleSize val="0"/>
        </c:dLbls>
        <c:gapWidth val="219"/>
        <c:axId val="735319696"/>
        <c:axId val="735318448"/>
      </c:barChart>
      <c:dateAx>
        <c:axId val="7353196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735318448"/>
        <c:crosses val="autoZero"/>
        <c:auto val="0"/>
        <c:lblOffset val="100"/>
        <c:baseTimeUnit val="days"/>
      </c:dateAx>
      <c:valAx>
        <c:axId val="7353184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35319696"/>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lv-LV" sz="1000"/>
              <a:t>Changes in construction material costs and their forecasts as a percentage of the previous year </a:t>
            </a:r>
            <a:br>
              <a:rPr lang="lv-LV" sz="1000"/>
            </a:br>
            <a:r>
              <a:rPr lang="lv-LV" sz="1000"/>
              <a:t>Main system equipment</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Q04_Tirg!$G$8</c:f>
              <c:strCache>
                <c:ptCount val="1"/>
                <c:pt idx="0">
                  <c:v>2020.</c:v>
                </c:pt>
              </c:strCache>
            </c:strRef>
          </c:tx>
          <c:spPr>
            <a:solidFill>
              <a:schemeClr val="accent1"/>
            </a:solidFill>
            <a:ln>
              <a:noFill/>
            </a:ln>
            <a:effectLst/>
          </c:spPr>
          <c:invertIfNegative val="0"/>
          <c:cat>
            <c:strRef>
              <c:f>Q04_Tirg!$A$22:$A$28</c:f>
              <c:strCache>
                <c:ptCount val="7"/>
                <c:pt idx="0">
                  <c:v>Electrical systems (electricity generation, communications (high voltage, low voltage cables), switchboards, switchgear, etc.)</c:v>
                </c:pt>
                <c:pt idx="1">
                  <c:v>Automation systems (controls, lighting controls, etc.)</c:v>
                </c:pt>
                <c:pt idx="2">
                  <c:v>Fire and safety management systems</c:v>
                </c:pt>
                <c:pt idx="3">
                  <c:v>Plumbing systems</c:v>
                </c:pt>
                <c:pt idx="4">
                  <c:v>Heating and cooling systems</c:v>
                </c:pt>
                <c:pt idx="5">
                  <c:v>Lighting systems</c:v>
                </c:pt>
                <c:pt idx="6">
                  <c:v>Elevators and escalators</c:v>
                </c:pt>
              </c:strCache>
            </c:strRef>
          </c:cat>
          <c:val>
            <c:numRef>
              <c:f>Q04_Tirg!$G$22:$G$28</c:f>
              <c:numCache>
                <c:formatCode>0.00</c:formatCode>
                <c:ptCount val="7"/>
                <c:pt idx="0">
                  <c:v>3.3333333333333335</c:v>
                </c:pt>
                <c:pt idx="1">
                  <c:v>3</c:v>
                </c:pt>
                <c:pt idx="2">
                  <c:v>3</c:v>
                </c:pt>
                <c:pt idx="3">
                  <c:v>2.3333333333333335</c:v>
                </c:pt>
                <c:pt idx="4">
                  <c:v>1.6666666666666667</c:v>
                </c:pt>
                <c:pt idx="5">
                  <c:v>1.6666666666666667</c:v>
                </c:pt>
                <c:pt idx="6">
                  <c:v>1.6666666666666667</c:v>
                </c:pt>
              </c:numCache>
            </c:numRef>
          </c:val>
          <c:extLst>
            <c:ext xmlns:c16="http://schemas.microsoft.com/office/drawing/2014/chart" uri="{C3380CC4-5D6E-409C-BE32-E72D297353CC}">
              <c16:uniqueId val="{00000000-7388-4C87-8E9D-A07025CBFD99}"/>
            </c:ext>
          </c:extLst>
        </c:ser>
        <c:ser>
          <c:idx val="1"/>
          <c:order val="1"/>
          <c:tx>
            <c:strRef>
              <c:f>Q04_Tirg!$H$8</c:f>
              <c:strCache>
                <c:ptCount val="1"/>
                <c:pt idx="0">
                  <c:v>2021.</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Q04_Tirg!$A$22:$A$28</c:f>
              <c:strCache>
                <c:ptCount val="7"/>
                <c:pt idx="0">
                  <c:v>Electrical systems (electricity generation, communications (high voltage, low voltage cables), switchboards, switchgear, etc.)</c:v>
                </c:pt>
                <c:pt idx="1">
                  <c:v>Automation systems (controls, lighting controls, etc.)</c:v>
                </c:pt>
                <c:pt idx="2">
                  <c:v>Fire and safety management systems</c:v>
                </c:pt>
                <c:pt idx="3">
                  <c:v>Plumbing systems</c:v>
                </c:pt>
                <c:pt idx="4">
                  <c:v>Heating and cooling systems</c:v>
                </c:pt>
                <c:pt idx="5">
                  <c:v>Lighting systems</c:v>
                </c:pt>
                <c:pt idx="6">
                  <c:v>Elevators and escalators</c:v>
                </c:pt>
              </c:strCache>
            </c:strRef>
          </c:cat>
          <c:val>
            <c:numRef>
              <c:f>Q04_Tirg!$H$22:$H$28</c:f>
              <c:numCache>
                <c:formatCode>0.00</c:formatCode>
                <c:ptCount val="7"/>
                <c:pt idx="0">
                  <c:v>16</c:v>
                </c:pt>
                <c:pt idx="1">
                  <c:v>5.666666666666667</c:v>
                </c:pt>
                <c:pt idx="2">
                  <c:v>5</c:v>
                </c:pt>
                <c:pt idx="3">
                  <c:v>5.333333333333333</c:v>
                </c:pt>
                <c:pt idx="4">
                  <c:v>5.333333333333333</c:v>
                </c:pt>
                <c:pt idx="5">
                  <c:v>4</c:v>
                </c:pt>
                <c:pt idx="6">
                  <c:v>7.666666666666667</c:v>
                </c:pt>
              </c:numCache>
            </c:numRef>
          </c:val>
          <c:extLst>
            <c:ext xmlns:c16="http://schemas.microsoft.com/office/drawing/2014/chart" uri="{C3380CC4-5D6E-409C-BE32-E72D297353CC}">
              <c16:uniqueId val="{00000001-7388-4C87-8E9D-A07025CBFD99}"/>
            </c:ext>
          </c:extLst>
        </c:ser>
        <c:ser>
          <c:idx val="2"/>
          <c:order val="2"/>
          <c:tx>
            <c:strRef>
              <c:f>Q04_Tirg!$I$8</c:f>
              <c:strCache>
                <c:ptCount val="1"/>
                <c:pt idx="0">
                  <c:v>2022.-2025.</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Q04_Tirg!$A$22:$A$28</c:f>
              <c:strCache>
                <c:ptCount val="7"/>
                <c:pt idx="0">
                  <c:v>Electrical systems (electricity generation, communications (high voltage, low voltage cables), switchboards, switchgear, etc.)</c:v>
                </c:pt>
                <c:pt idx="1">
                  <c:v>Automation systems (controls, lighting controls, etc.)</c:v>
                </c:pt>
                <c:pt idx="2">
                  <c:v>Fire and safety management systems</c:v>
                </c:pt>
                <c:pt idx="3">
                  <c:v>Plumbing systems</c:v>
                </c:pt>
                <c:pt idx="4">
                  <c:v>Heating and cooling systems</c:v>
                </c:pt>
                <c:pt idx="5">
                  <c:v>Lighting systems</c:v>
                </c:pt>
                <c:pt idx="6">
                  <c:v>Elevators and escalators</c:v>
                </c:pt>
              </c:strCache>
            </c:strRef>
          </c:cat>
          <c:val>
            <c:numRef>
              <c:f>Q04_Tirg!$I$22:$I$28</c:f>
              <c:numCache>
                <c:formatCode>0.00</c:formatCode>
                <c:ptCount val="7"/>
                <c:pt idx="0">
                  <c:v>3.3333333333333335</c:v>
                </c:pt>
                <c:pt idx="1">
                  <c:v>3.6666666666666665</c:v>
                </c:pt>
                <c:pt idx="2">
                  <c:v>5</c:v>
                </c:pt>
                <c:pt idx="3">
                  <c:v>3.3333333333333335</c:v>
                </c:pt>
                <c:pt idx="4">
                  <c:v>3.3333333333333335</c:v>
                </c:pt>
                <c:pt idx="5">
                  <c:v>2.6666666666666665</c:v>
                </c:pt>
                <c:pt idx="6">
                  <c:v>6.666666666666667</c:v>
                </c:pt>
              </c:numCache>
            </c:numRef>
          </c:val>
          <c:extLst>
            <c:ext xmlns:c16="http://schemas.microsoft.com/office/drawing/2014/chart" uri="{C3380CC4-5D6E-409C-BE32-E72D297353CC}">
              <c16:uniqueId val="{00000002-7388-4C87-8E9D-A07025CBFD99}"/>
            </c:ext>
          </c:extLst>
        </c:ser>
        <c:dLbls>
          <c:showLegendKey val="0"/>
          <c:showVal val="0"/>
          <c:showCatName val="0"/>
          <c:showSerName val="0"/>
          <c:showPercent val="0"/>
          <c:showBubbleSize val="0"/>
        </c:dLbls>
        <c:gapWidth val="100"/>
        <c:axId val="735319696"/>
        <c:axId val="735318448"/>
      </c:barChart>
      <c:dateAx>
        <c:axId val="7353196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735318448"/>
        <c:crosses val="autoZero"/>
        <c:auto val="0"/>
        <c:lblOffset val="100"/>
        <c:baseTimeUnit val="days"/>
      </c:dateAx>
      <c:valAx>
        <c:axId val="7353184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35319696"/>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lv-LV" sz="1050"/>
              <a:t>Price dynamics of individual metal products and expert forecast of metal product costs as a percentage of the previous year</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manualLayout>
          <c:layoutTarget val="inner"/>
          <c:xMode val="edge"/>
          <c:yMode val="edge"/>
          <c:x val="5.2523925370177783E-2"/>
          <c:y val="0.17938780122273232"/>
          <c:w val="0.92585657777447627"/>
          <c:h val="0.48788626686014702"/>
        </c:manualLayout>
      </c:layout>
      <c:lineChart>
        <c:grouping val="standard"/>
        <c:varyColors val="0"/>
        <c:ser>
          <c:idx val="0"/>
          <c:order val="0"/>
          <c:tx>
            <c:strRef>
              <c:f>CSP!$A$4</c:f>
              <c:strCache>
                <c:ptCount val="1"/>
                <c:pt idx="0">
                  <c:v>Rolled steel</c:v>
                </c:pt>
              </c:strCache>
            </c:strRef>
          </c:tx>
          <c:spPr>
            <a:ln w="19050" cap="rnd">
              <a:solidFill>
                <a:schemeClr val="accent1"/>
              </a:solidFill>
              <a:prstDash val="sysDash"/>
              <a:round/>
            </a:ln>
            <a:effectLst/>
          </c:spPr>
          <c:marker>
            <c:symbol val="none"/>
          </c:marker>
          <c:cat>
            <c:strRef>
              <c:f>CSP!$C$3:$J$3</c:f>
              <c:strCache>
                <c:ptCount val="8"/>
                <c:pt idx="0">
                  <c:v>2015.</c:v>
                </c:pt>
                <c:pt idx="1">
                  <c:v>2016.</c:v>
                </c:pt>
                <c:pt idx="2">
                  <c:v>2017.</c:v>
                </c:pt>
                <c:pt idx="3">
                  <c:v>2018.</c:v>
                </c:pt>
                <c:pt idx="4">
                  <c:v>2019.</c:v>
                </c:pt>
                <c:pt idx="5">
                  <c:v>2020.</c:v>
                </c:pt>
                <c:pt idx="6">
                  <c:v>2021.</c:v>
                </c:pt>
                <c:pt idx="7">
                  <c:v>2022.-2025.</c:v>
                </c:pt>
              </c:strCache>
            </c:strRef>
          </c:cat>
          <c:val>
            <c:numRef>
              <c:f>CSP!$C$4:$H$4</c:f>
              <c:numCache>
                <c:formatCode>General</c:formatCode>
                <c:ptCount val="6"/>
                <c:pt idx="0">
                  <c:v>-4.7</c:v>
                </c:pt>
                <c:pt idx="1">
                  <c:v>-10.4</c:v>
                </c:pt>
                <c:pt idx="2">
                  <c:v>2.2000000000000002</c:v>
                </c:pt>
                <c:pt idx="3">
                  <c:v>12.2</c:v>
                </c:pt>
                <c:pt idx="4">
                  <c:v>2.2999999999999998</c:v>
                </c:pt>
                <c:pt idx="5">
                  <c:v>-2.2000000000000002</c:v>
                </c:pt>
              </c:numCache>
            </c:numRef>
          </c:val>
          <c:smooth val="0"/>
          <c:extLst>
            <c:ext xmlns:c16="http://schemas.microsoft.com/office/drawing/2014/chart" uri="{C3380CC4-5D6E-409C-BE32-E72D297353CC}">
              <c16:uniqueId val="{00000000-221F-46AC-B137-69F34BECE3EA}"/>
            </c:ext>
          </c:extLst>
        </c:ser>
        <c:ser>
          <c:idx val="1"/>
          <c:order val="1"/>
          <c:tx>
            <c:strRef>
              <c:f>CSP!$A$5</c:f>
              <c:strCache>
                <c:ptCount val="1"/>
                <c:pt idx="0">
                  <c:v>Metal construction and small met. articles</c:v>
                </c:pt>
              </c:strCache>
            </c:strRef>
          </c:tx>
          <c:spPr>
            <a:ln w="19050" cap="rnd">
              <a:solidFill>
                <a:schemeClr val="accent2"/>
              </a:solidFill>
              <a:prstDash val="sysDash"/>
              <a:round/>
            </a:ln>
            <a:effectLst/>
          </c:spPr>
          <c:marker>
            <c:symbol val="none"/>
          </c:marker>
          <c:cat>
            <c:strRef>
              <c:f>CSP!$C$3:$J$3</c:f>
              <c:strCache>
                <c:ptCount val="8"/>
                <c:pt idx="0">
                  <c:v>2015.</c:v>
                </c:pt>
                <c:pt idx="1">
                  <c:v>2016.</c:v>
                </c:pt>
                <c:pt idx="2">
                  <c:v>2017.</c:v>
                </c:pt>
                <c:pt idx="3">
                  <c:v>2018.</c:v>
                </c:pt>
                <c:pt idx="4">
                  <c:v>2019.</c:v>
                </c:pt>
                <c:pt idx="5">
                  <c:v>2020.</c:v>
                </c:pt>
                <c:pt idx="6">
                  <c:v>2021.</c:v>
                </c:pt>
                <c:pt idx="7">
                  <c:v>2022.-2025.</c:v>
                </c:pt>
              </c:strCache>
            </c:strRef>
          </c:cat>
          <c:val>
            <c:numRef>
              <c:f>CSP!$C$5:$H$5</c:f>
              <c:numCache>
                <c:formatCode>General</c:formatCode>
                <c:ptCount val="6"/>
                <c:pt idx="0">
                  <c:v>-4.5</c:v>
                </c:pt>
                <c:pt idx="1">
                  <c:v>-2</c:v>
                </c:pt>
                <c:pt idx="2">
                  <c:v>1</c:v>
                </c:pt>
                <c:pt idx="3">
                  <c:v>1.5</c:v>
                </c:pt>
                <c:pt idx="4">
                  <c:v>-1.4</c:v>
                </c:pt>
                <c:pt idx="5">
                  <c:v>3.7</c:v>
                </c:pt>
              </c:numCache>
            </c:numRef>
          </c:val>
          <c:smooth val="0"/>
          <c:extLst>
            <c:ext xmlns:c16="http://schemas.microsoft.com/office/drawing/2014/chart" uri="{C3380CC4-5D6E-409C-BE32-E72D297353CC}">
              <c16:uniqueId val="{00000001-221F-46AC-B137-69F34BECE3EA}"/>
            </c:ext>
          </c:extLst>
        </c:ser>
        <c:ser>
          <c:idx val="2"/>
          <c:order val="2"/>
          <c:tx>
            <c:strRef>
              <c:f>CSP!$A$6</c:f>
              <c:strCache>
                <c:ptCount val="1"/>
                <c:pt idx="0">
                  <c:v>Reinforcements, reinforcing meshes, frames</c:v>
                </c:pt>
              </c:strCache>
            </c:strRef>
          </c:tx>
          <c:spPr>
            <a:ln w="19050" cap="rnd">
              <a:solidFill>
                <a:schemeClr val="accent3"/>
              </a:solidFill>
              <a:prstDash val="sysDash"/>
              <a:round/>
            </a:ln>
            <a:effectLst/>
          </c:spPr>
          <c:marker>
            <c:symbol val="none"/>
          </c:marker>
          <c:cat>
            <c:strRef>
              <c:f>CSP!$C$3:$J$3</c:f>
              <c:strCache>
                <c:ptCount val="8"/>
                <c:pt idx="0">
                  <c:v>2015.</c:v>
                </c:pt>
                <c:pt idx="1">
                  <c:v>2016.</c:v>
                </c:pt>
                <c:pt idx="2">
                  <c:v>2017.</c:v>
                </c:pt>
                <c:pt idx="3">
                  <c:v>2018.</c:v>
                </c:pt>
                <c:pt idx="4">
                  <c:v>2019.</c:v>
                </c:pt>
                <c:pt idx="5">
                  <c:v>2020.</c:v>
                </c:pt>
                <c:pt idx="6">
                  <c:v>2021.</c:v>
                </c:pt>
                <c:pt idx="7">
                  <c:v>2022.-2025.</c:v>
                </c:pt>
              </c:strCache>
            </c:strRef>
          </c:cat>
          <c:val>
            <c:numRef>
              <c:f>CSP!$C$6:$H$6</c:f>
              <c:numCache>
                <c:formatCode>General</c:formatCode>
                <c:ptCount val="6"/>
                <c:pt idx="0">
                  <c:v>-3.6</c:v>
                </c:pt>
                <c:pt idx="1">
                  <c:v>-5.7</c:v>
                </c:pt>
                <c:pt idx="2">
                  <c:v>7.3</c:v>
                </c:pt>
                <c:pt idx="3">
                  <c:v>8.1</c:v>
                </c:pt>
                <c:pt idx="4">
                  <c:v>3</c:v>
                </c:pt>
                <c:pt idx="5">
                  <c:v>-2.5</c:v>
                </c:pt>
              </c:numCache>
            </c:numRef>
          </c:val>
          <c:smooth val="0"/>
          <c:extLst>
            <c:ext xmlns:c16="http://schemas.microsoft.com/office/drawing/2014/chart" uri="{C3380CC4-5D6E-409C-BE32-E72D297353CC}">
              <c16:uniqueId val="{00000002-221F-46AC-B137-69F34BECE3EA}"/>
            </c:ext>
          </c:extLst>
        </c:ser>
        <c:ser>
          <c:idx val="3"/>
          <c:order val="3"/>
          <c:tx>
            <c:strRef>
              <c:f>CSP!$A$7</c:f>
              <c:strCache>
                <c:ptCount val="1"/>
                <c:pt idx="0">
                  <c:v>Stainless steel</c:v>
                </c:pt>
              </c:strCache>
            </c:strRef>
          </c:tx>
          <c:spPr>
            <a:ln w="19050" cap="rnd">
              <a:solidFill>
                <a:schemeClr val="accent2">
                  <a:lumMod val="60000"/>
                  <a:lumOff val="40000"/>
                </a:schemeClr>
              </a:solidFill>
              <a:prstDash val="sysDash"/>
              <a:round/>
            </a:ln>
            <a:effectLst/>
          </c:spPr>
          <c:marker>
            <c:symbol val="none"/>
          </c:marker>
          <c:cat>
            <c:strRef>
              <c:f>CSP!$C$3:$J$3</c:f>
              <c:strCache>
                <c:ptCount val="8"/>
                <c:pt idx="0">
                  <c:v>2015.</c:v>
                </c:pt>
                <c:pt idx="1">
                  <c:v>2016.</c:v>
                </c:pt>
                <c:pt idx="2">
                  <c:v>2017.</c:v>
                </c:pt>
                <c:pt idx="3">
                  <c:v>2018.</c:v>
                </c:pt>
                <c:pt idx="4">
                  <c:v>2019.</c:v>
                </c:pt>
                <c:pt idx="5">
                  <c:v>2020.</c:v>
                </c:pt>
                <c:pt idx="6">
                  <c:v>2021.</c:v>
                </c:pt>
                <c:pt idx="7">
                  <c:v>2022.-2025.</c:v>
                </c:pt>
              </c:strCache>
            </c:strRef>
          </c:cat>
          <c:val>
            <c:numRef>
              <c:f>CSP!$C$7:$H$7</c:f>
              <c:numCache>
                <c:formatCode>General</c:formatCode>
                <c:ptCount val="6"/>
                <c:pt idx="0">
                  <c:v>-4</c:v>
                </c:pt>
                <c:pt idx="1">
                  <c:v>-5.5</c:v>
                </c:pt>
                <c:pt idx="2">
                  <c:v>1.8</c:v>
                </c:pt>
                <c:pt idx="3">
                  <c:v>4.3</c:v>
                </c:pt>
                <c:pt idx="4">
                  <c:v>1.7</c:v>
                </c:pt>
                <c:pt idx="5">
                  <c:v>0.5</c:v>
                </c:pt>
              </c:numCache>
            </c:numRef>
          </c:val>
          <c:smooth val="0"/>
          <c:extLst>
            <c:ext xmlns:c16="http://schemas.microsoft.com/office/drawing/2014/chart" uri="{C3380CC4-5D6E-409C-BE32-E72D297353CC}">
              <c16:uniqueId val="{00000003-221F-46AC-B137-69F34BECE3EA}"/>
            </c:ext>
          </c:extLst>
        </c:ser>
        <c:ser>
          <c:idx val="4"/>
          <c:order val="4"/>
          <c:tx>
            <c:strRef>
              <c:f>CSP!$A$8</c:f>
              <c:strCache>
                <c:ptCount val="1"/>
                <c:pt idx="0">
                  <c:v>Steel pipes (ordinary)</c:v>
                </c:pt>
              </c:strCache>
            </c:strRef>
          </c:tx>
          <c:spPr>
            <a:ln w="19050" cap="rnd">
              <a:solidFill>
                <a:schemeClr val="accent1">
                  <a:lumMod val="60000"/>
                  <a:lumOff val="40000"/>
                </a:schemeClr>
              </a:solidFill>
              <a:prstDash val="sysDash"/>
              <a:round/>
            </a:ln>
            <a:effectLst/>
          </c:spPr>
          <c:marker>
            <c:symbol val="none"/>
          </c:marker>
          <c:cat>
            <c:strRef>
              <c:f>CSP!$C$3:$J$3</c:f>
              <c:strCache>
                <c:ptCount val="8"/>
                <c:pt idx="0">
                  <c:v>2015.</c:v>
                </c:pt>
                <c:pt idx="1">
                  <c:v>2016.</c:v>
                </c:pt>
                <c:pt idx="2">
                  <c:v>2017.</c:v>
                </c:pt>
                <c:pt idx="3">
                  <c:v>2018.</c:v>
                </c:pt>
                <c:pt idx="4">
                  <c:v>2019.</c:v>
                </c:pt>
                <c:pt idx="5">
                  <c:v>2020.</c:v>
                </c:pt>
                <c:pt idx="6">
                  <c:v>2021.</c:v>
                </c:pt>
                <c:pt idx="7">
                  <c:v>2022.-2025.</c:v>
                </c:pt>
              </c:strCache>
            </c:strRef>
          </c:cat>
          <c:val>
            <c:numRef>
              <c:f>CSP!$C$8:$H$8</c:f>
              <c:numCache>
                <c:formatCode>General</c:formatCode>
                <c:ptCount val="6"/>
                <c:pt idx="0">
                  <c:v>-0.1</c:v>
                </c:pt>
                <c:pt idx="1">
                  <c:v>-6</c:v>
                </c:pt>
                <c:pt idx="2">
                  <c:v>16.2</c:v>
                </c:pt>
                <c:pt idx="3">
                  <c:v>3.9</c:v>
                </c:pt>
                <c:pt idx="4">
                  <c:v>-4.8</c:v>
                </c:pt>
                <c:pt idx="5">
                  <c:v>-5.3</c:v>
                </c:pt>
              </c:numCache>
            </c:numRef>
          </c:val>
          <c:smooth val="0"/>
          <c:extLst>
            <c:ext xmlns:c16="http://schemas.microsoft.com/office/drawing/2014/chart" uri="{C3380CC4-5D6E-409C-BE32-E72D297353CC}">
              <c16:uniqueId val="{00000004-221F-46AC-B137-69F34BECE3EA}"/>
            </c:ext>
          </c:extLst>
        </c:ser>
        <c:ser>
          <c:idx val="5"/>
          <c:order val="5"/>
          <c:tx>
            <c:strRef>
              <c:f>CSP!$A$9</c:f>
              <c:strCache>
                <c:ptCount val="1"/>
                <c:pt idx="0">
                  <c:v>Steel pipes (galvanized)</c:v>
                </c:pt>
              </c:strCache>
            </c:strRef>
          </c:tx>
          <c:spPr>
            <a:ln w="19050" cap="rnd">
              <a:solidFill>
                <a:schemeClr val="accent6"/>
              </a:solidFill>
              <a:prstDash val="sysDash"/>
              <a:round/>
            </a:ln>
            <a:effectLst/>
          </c:spPr>
          <c:marker>
            <c:symbol val="none"/>
          </c:marker>
          <c:cat>
            <c:strRef>
              <c:f>CSP!$C$3:$J$3</c:f>
              <c:strCache>
                <c:ptCount val="8"/>
                <c:pt idx="0">
                  <c:v>2015.</c:v>
                </c:pt>
                <c:pt idx="1">
                  <c:v>2016.</c:v>
                </c:pt>
                <c:pt idx="2">
                  <c:v>2017.</c:v>
                </c:pt>
                <c:pt idx="3">
                  <c:v>2018.</c:v>
                </c:pt>
                <c:pt idx="4">
                  <c:v>2019.</c:v>
                </c:pt>
                <c:pt idx="5">
                  <c:v>2020.</c:v>
                </c:pt>
                <c:pt idx="6">
                  <c:v>2021.</c:v>
                </c:pt>
                <c:pt idx="7">
                  <c:v>2022.-2025.</c:v>
                </c:pt>
              </c:strCache>
            </c:strRef>
          </c:cat>
          <c:val>
            <c:numRef>
              <c:f>CSP!$C$9:$H$9</c:f>
              <c:numCache>
                <c:formatCode>General</c:formatCode>
                <c:ptCount val="6"/>
                <c:pt idx="0">
                  <c:v>-0.5</c:v>
                </c:pt>
                <c:pt idx="1">
                  <c:v>-12.2</c:v>
                </c:pt>
                <c:pt idx="2">
                  <c:v>5.6</c:v>
                </c:pt>
                <c:pt idx="3">
                  <c:v>2.1</c:v>
                </c:pt>
                <c:pt idx="4">
                  <c:v>-2</c:v>
                </c:pt>
                <c:pt idx="5">
                  <c:v>-3</c:v>
                </c:pt>
              </c:numCache>
            </c:numRef>
          </c:val>
          <c:smooth val="0"/>
          <c:extLst>
            <c:ext xmlns:c16="http://schemas.microsoft.com/office/drawing/2014/chart" uri="{C3380CC4-5D6E-409C-BE32-E72D297353CC}">
              <c16:uniqueId val="{00000005-221F-46AC-B137-69F34BECE3EA}"/>
            </c:ext>
          </c:extLst>
        </c:ser>
        <c:ser>
          <c:idx val="6"/>
          <c:order val="6"/>
          <c:tx>
            <c:strRef>
              <c:f>CSP!$A$10</c:f>
              <c:strCache>
                <c:ptCount val="1"/>
                <c:pt idx="0">
                  <c:v>Industrial insulated steel tubes with an inside diameter of 200 mm</c:v>
                </c:pt>
              </c:strCache>
            </c:strRef>
          </c:tx>
          <c:spPr>
            <a:ln w="19050" cap="rnd">
              <a:solidFill>
                <a:schemeClr val="accent6">
                  <a:lumMod val="60000"/>
                  <a:lumOff val="40000"/>
                </a:schemeClr>
              </a:solidFill>
              <a:prstDash val="sysDash"/>
              <a:round/>
            </a:ln>
            <a:effectLst/>
          </c:spPr>
          <c:marker>
            <c:symbol val="none"/>
          </c:marker>
          <c:cat>
            <c:strRef>
              <c:f>CSP!$C$3:$J$3</c:f>
              <c:strCache>
                <c:ptCount val="8"/>
                <c:pt idx="0">
                  <c:v>2015.</c:v>
                </c:pt>
                <c:pt idx="1">
                  <c:v>2016.</c:v>
                </c:pt>
                <c:pt idx="2">
                  <c:v>2017.</c:v>
                </c:pt>
                <c:pt idx="3">
                  <c:v>2018.</c:v>
                </c:pt>
                <c:pt idx="4">
                  <c:v>2019.</c:v>
                </c:pt>
                <c:pt idx="5">
                  <c:v>2020.</c:v>
                </c:pt>
                <c:pt idx="6">
                  <c:v>2021.</c:v>
                </c:pt>
                <c:pt idx="7">
                  <c:v>2022.-2025.</c:v>
                </c:pt>
              </c:strCache>
            </c:strRef>
          </c:cat>
          <c:val>
            <c:numRef>
              <c:f>CSP!$C$10:$H$10</c:f>
              <c:numCache>
                <c:formatCode>General</c:formatCode>
                <c:ptCount val="6"/>
                <c:pt idx="0">
                  <c:v>-0.1</c:v>
                </c:pt>
                <c:pt idx="1">
                  <c:v>-3.7</c:v>
                </c:pt>
                <c:pt idx="2">
                  <c:v>1.8</c:v>
                </c:pt>
                <c:pt idx="3">
                  <c:v>4.5</c:v>
                </c:pt>
                <c:pt idx="4">
                  <c:v>2.4</c:v>
                </c:pt>
                <c:pt idx="5">
                  <c:v>3</c:v>
                </c:pt>
              </c:numCache>
            </c:numRef>
          </c:val>
          <c:smooth val="0"/>
          <c:extLst>
            <c:ext xmlns:c16="http://schemas.microsoft.com/office/drawing/2014/chart" uri="{C3380CC4-5D6E-409C-BE32-E72D297353CC}">
              <c16:uniqueId val="{00000006-221F-46AC-B137-69F34BECE3EA}"/>
            </c:ext>
          </c:extLst>
        </c:ser>
        <c:ser>
          <c:idx val="7"/>
          <c:order val="7"/>
          <c:tx>
            <c:strRef>
              <c:f>CSP!$A$12</c:f>
              <c:strCache>
                <c:ptCount val="1"/>
                <c:pt idx="0">
                  <c:v>Total expert forecast of metal products</c:v>
                </c:pt>
              </c:strCache>
            </c:strRef>
          </c:tx>
          <c:spPr>
            <a:ln w="28575" cap="rnd">
              <a:solidFill>
                <a:srgbClr val="FFC000"/>
              </a:solidFill>
              <a:prstDash val="dash"/>
              <a:round/>
            </a:ln>
            <a:effectLst/>
          </c:spPr>
          <c:marker>
            <c:symbol val="none"/>
          </c:marker>
          <c:dLbls>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rgbClr val="C00000"/>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CSP!$C$3:$J$3</c:f>
              <c:strCache>
                <c:ptCount val="8"/>
                <c:pt idx="0">
                  <c:v>2015.</c:v>
                </c:pt>
                <c:pt idx="1">
                  <c:v>2016.</c:v>
                </c:pt>
                <c:pt idx="2">
                  <c:v>2017.</c:v>
                </c:pt>
                <c:pt idx="3">
                  <c:v>2018.</c:v>
                </c:pt>
                <c:pt idx="4">
                  <c:v>2019.</c:v>
                </c:pt>
                <c:pt idx="5">
                  <c:v>2020.</c:v>
                </c:pt>
                <c:pt idx="6">
                  <c:v>2021.</c:v>
                </c:pt>
                <c:pt idx="7">
                  <c:v>2022.-2025.</c:v>
                </c:pt>
              </c:strCache>
            </c:strRef>
          </c:cat>
          <c:val>
            <c:numRef>
              <c:f>CSP!$C$12:$J$12</c:f>
              <c:numCache>
                <c:formatCode>General</c:formatCode>
                <c:ptCount val="8"/>
                <c:pt idx="5" formatCode="0.00">
                  <c:v>11.25</c:v>
                </c:pt>
                <c:pt idx="6" formatCode="0.00">
                  <c:v>24.25</c:v>
                </c:pt>
                <c:pt idx="7" formatCode="0.00">
                  <c:v>6.666666666666667</c:v>
                </c:pt>
              </c:numCache>
            </c:numRef>
          </c:val>
          <c:smooth val="0"/>
          <c:extLst>
            <c:ext xmlns:c16="http://schemas.microsoft.com/office/drawing/2014/chart" uri="{C3380CC4-5D6E-409C-BE32-E72D297353CC}">
              <c16:uniqueId val="{00000007-221F-46AC-B137-69F34BECE3EA}"/>
            </c:ext>
          </c:extLst>
        </c:ser>
        <c:dLbls>
          <c:showLegendKey val="0"/>
          <c:showVal val="0"/>
          <c:showCatName val="0"/>
          <c:showSerName val="0"/>
          <c:showPercent val="0"/>
          <c:showBubbleSize val="0"/>
        </c:dLbls>
        <c:smooth val="0"/>
        <c:axId val="462772784"/>
        <c:axId val="462776528"/>
      </c:lineChart>
      <c:catAx>
        <c:axId val="46277278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v-LV"/>
          </a:p>
        </c:txPr>
        <c:crossAx val="462776528"/>
        <c:crosses val="autoZero"/>
        <c:auto val="1"/>
        <c:lblAlgn val="ctr"/>
        <c:lblOffset val="100"/>
        <c:noMultiLvlLbl val="0"/>
      </c:catAx>
      <c:valAx>
        <c:axId val="462776528"/>
        <c:scaling>
          <c:orientation val="minMax"/>
          <c:max val="30"/>
          <c:min val="-15"/>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62772784"/>
        <c:crosses val="autoZero"/>
        <c:crossBetween val="between"/>
        <c:majorUnit val="5"/>
        <c:minorUnit val="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lv-LV" sz="1100">
                <a:latin typeface="Arial" panose="020B0604020202020204" pitchFamily="34" charset="0"/>
                <a:cs typeface="Arial" panose="020B0604020202020204" pitchFamily="34" charset="0"/>
              </a:rPr>
              <a:t>Forecasts of changes in construction costs against the previous year 2021-2025</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title>
    <c:autoTitleDeleted val="0"/>
    <c:plotArea>
      <c:layout/>
      <c:lineChart>
        <c:grouping val="standard"/>
        <c:varyColors val="0"/>
        <c:ser>
          <c:idx val="0"/>
          <c:order val="0"/>
          <c:tx>
            <c:v>Construction costs</c:v>
          </c:tx>
          <c:spPr>
            <a:ln w="19050" cap="rnd">
              <a:solidFill>
                <a:srgbClr val="C00000"/>
              </a:solidFill>
              <a:prstDash val="sysDash"/>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'Q03'!$B$37:$B$51</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'Q03'!$H$54:$H$63</c:f>
              <c:numCache>
                <c:formatCode>General</c:formatCode>
                <c:ptCount val="10"/>
                <c:pt idx="0">
                  <c:v>2.0999999999999943</c:v>
                </c:pt>
                <c:pt idx="1">
                  <c:v>6.7999999999999972</c:v>
                </c:pt>
                <c:pt idx="2">
                  <c:v>2.5</c:v>
                </c:pt>
                <c:pt idx="3">
                  <c:v>0.40000000000000568</c:v>
                </c:pt>
                <c:pt idx="4">
                  <c:v>9.9999999999994316E-2</c:v>
                </c:pt>
                <c:pt idx="5">
                  <c:v>-0.5</c:v>
                </c:pt>
                <c:pt idx="6">
                  <c:v>1.9000000000000057</c:v>
                </c:pt>
                <c:pt idx="7">
                  <c:v>4.4000000000000057</c:v>
                </c:pt>
                <c:pt idx="8">
                  <c:v>4.0999999999999943</c:v>
                </c:pt>
                <c:pt idx="9">
                  <c:v>1.2999999999999972</c:v>
                </c:pt>
              </c:numCache>
            </c:numRef>
          </c:val>
          <c:smooth val="0"/>
          <c:extLst>
            <c:ext xmlns:c16="http://schemas.microsoft.com/office/drawing/2014/chart" uri="{C3380CC4-5D6E-409C-BE32-E72D297353CC}">
              <c16:uniqueId val="{00000000-14E5-4238-A81E-9CE5549005F4}"/>
            </c:ext>
          </c:extLst>
        </c:ser>
        <c:ser>
          <c:idx val="1"/>
          <c:order val="1"/>
          <c:tx>
            <c:v>Statistical forecast</c:v>
          </c:tx>
          <c:spPr>
            <a:ln w="19050" cap="rnd">
              <a:solidFill>
                <a:schemeClr val="accent5">
                  <a:lumMod val="60000"/>
                  <a:lumOff val="40000"/>
                </a:schemeClr>
              </a:solidFill>
              <a:prstDash val="sysDash"/>
              <a:round/>
            </a:ln>
            <a:effectLst/>
          </c:spPr>
          <c:marker>
            <c:symbol val="none"/>
          </c:marker>
          <c:cat>
            <c:strRef>
              <c:f>'Q03'!$B$37:$B$51</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'Q03'!$I$54:$I$68</c:f>
              <c:numCache>
                <c:formatCode>General</c:formatCode>
                <c:ptCount val="15"/>
                <c:pt idx="10">
                  <c:v>1.7773431717411512</c:v>
                </c:pt>
                <c:pt idx="11">
                  <c:v>1.7169777456392268</c:v>
                </c:pt>
                <c:pt idx="12">
                  <c:v>1.6614731757731818</c:v>
                </c:pt>
                <c:pt idx="13">
                  <c:v>1.6102650710147088</c:v>
                </c:pt>
                <c:pt idx="14">
                  <c:v>1.5628731583752398</c:v>
                </c:pt>
              </c:numCache>
            </c:numRef>
          </c:val>
          <c:smooth val="0"/>
          <c:extLst>
            <c:ext xmlns:c16="http://schemas.microsoft.com/office/drawing/2014/chart" uri="{C3380CC4-5D6E-409C-BE32-E72D297353CC}">
              <c16:uniqueId val="{00000001-14E5-4238-A81E-9CE5549005F4}"/>
            </c:ext>
          </c:extLst>
        </c:ser>
        <c:ser>
          <c:idx val="2"/>
          <c:order val="2"/>
          <c:tx>
            <c:v>Combined forecast</c:v>
          </c:tx>
          <c:spPr>
            <a:ln w="28575" cap="rnd">
              <a:solidFill>
                <a:schemeClr val="tx1"/>
              </a:solidFill>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'Q03'!$B$37:$B$51</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'Q03'!$J$54:$J$68</c:f>
              <c:numCache>
                <c:formatCode>General</c:formatCode>
                <c:ptCount val="15"/>
                <c:pt idx="10">
                  <c:v>6.5886715858705713</c:v>
                </c:pt>
                <c:pt idx="11">
                  <c:v>5.5959888728196177</c:v>
                </c:pt>
                <c:pt idx="12">
                  <c:v>3.6807365878865994</c:v>
                </c:pt>
                <c:pt idx="13">
                  <c:v>3.4761851670862995</c:v>
                </c:pt>
                <c:pt idx="14">
                  <c:v>2.5840681581349827</c:v>
                </c:pt>
              </c:numCache>
            </c:numRef>
          </c:val>
          <c:smooth val="0"/>
          <c:extLst>
            <c:ext xmlns:c16="http://schemas.microsoft.com/office/drawing/2014/chart" uri="{C3380CC4-5D6E-409C-BE32-E72D297353CC}">
              <c16:uniqueId val="{00000002-14E5-4238-A81E-9CE5549005F4}"/>
            </c:ext>
          </c:extLst>
        </c:ser>
        <c:ser>
          <c:idx val="3"/>
          <c:order val="3"/>
          <c:tx>
            <c:v>Expert forecast</c:v>
          </c:tx>
          <c:spPr>
            <a:ln w="19050" cap="rnd">
              <a:solidFill>
                <a:schemeClr val="accent4"/>
              </a:solidFill>
              <a:prstDash val="sysDash"/>
              <a:round/>
            </a:ln>
            <a:effectLst/>
          </c:spPr>
          <c:marker>
            <c:symbol val="none"/>
          </c:marker>
          <c:cat>
            <c:strRef>
              <c:f>'Q03'!$B$37:$B$51</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'Q03'!$K$54:$K$68</c:f>
              <c:numCache>
                <c:formatCode>General</c:formatCode>
                <c:ptCount val="15"/>
                <c:pt idx="10">
                  <c:v>11.400000000000006</c:v>
                </c:pt>
                <c:pt idx="11">
                  <c:v>9.4749999999999943</c:v>
                </c:pt>
                <c:pt idx="12">
                  <c:v>5.7000000000000028</c:v>
                </c:pt>
                <c:pt idx="13">
                  <c:v>5.3421052631578902</c:v>
                </c:pt>
                <c:pt idx="14">
                  <c:v>3.6052631578947398</c:v>
                </c:pt>
              </c:numCache>
            </c:numRef>
          </c:val>
          <c:smooth val="0"/>
          <c:extLst>
            <c:ext xmlns:c16="http://schemas.microsoft.com/office/drawing/2014/chart" uri="{C3380CC4-5D6E-409C-BE32-E72D297353CC}">
              <c16:uniqueId val="{00000003-14E5-4238-A81E-9CE5549005F4}"/>
            </c:ext>
          </c:extLst>
        </c:ser>
        <c:dLbls>
          <c:showLegendKey val="0"/>
          <c:showVal val="0"/>
          <c:showCatName val="0"/>
          <c:showSerName val="0"/>
          <c:showPercent val="0"/>
          <c:showBubbleSize val="0"/>
        </c:dLbls>
        <c:smooth val="0"/>
        <c:axId val="1267990128"/>
        <c:axId val="1267990960"/>
      </c:lineChart>
      <c:catAx>
        <c:axId val="1267990128"/>
        <c:scaling>
          <c:orientation val="minMax"/>
        </c:scaling>
        <c:delete val="0"/>
        <c:axPos val="b"/>
        <c:numFmt formatCode="General" sourceLinked="1"/>
        <c:majorTickMark val="none"/>
        <c:minorTickMark val="none"/>
        <c:tickLblPos val="low"/>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lv-LV"/>
          </a:p>
        </c:txPr>
        <c:crossAx val="1267990960"/>
        <c:crosses val="autoZero"/>
        <c:auto val="1"/>
        <c:lblAlgn val="ctr"/>
        <c:lblOffset val="100"/>
        <c:noMultiLvlLbl val="0"/>
      </c:catAx>
      <c:valAx>
        <c:axId val="12679909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679901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lv-LV" sz="1200"/>
              <a:t>Price dynamics of individual metal products and expert forecast of metal product costs as a percentage of the previous year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manualLayout>
          <c:layoutTarget val="inner"/>
          <c:xMode val="edge"/>
          <c:yMode val="edge"/>
          <c:x val="5.2523925370177783E-2"/>
          <c:y val="8.9204081277919733E-2"/>
          <c:w val="0.92585657777447627"/>
          <c:h val="0.58062370721871681"/>
        </c:manualLayout>
      </c:layout>
      <c:lineChart>
        <c:grouping val="standard"/>
        <c:varyColors val="0"/>
        <c:ser>
          <c:idx val="7"/>
          <c:order val="0"/>
          <c:tx>
            <c:strRef>
              <c:f>CSP!$A$34</c:f>
              <c:strCache>
                <c:ptCount val="1"/>
                <c:pt idx="0">
                  <c:v>Total timber expert forecast</c:v>
                </c:pt>
              </c:strCache>
            </c:strRef>
          </c:tx>
          <c:spPr>
            <a:ln w="28575" cap="rnd">
              <a:solidFill>
                <a:schemeClr val="accent2">
                  <a:lumMod val="60000"/>
                </a:schemeClr>
              </a:solidFill>
              <a:prstDash val="dash"/>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C00000"/>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CSP!$C$3:$J$3</c:f>
              <c:strCache>
                <c:ptCount val="8"/>
                <c:pt idx="0">
                  <c:v>2015.</c:v>
                </c:pt>
                <c:pt idx="1">
                  <c:v>2016.</c:v>
                </c:pt>
                <c:pt idx="2">
                  <c:v>2017.</c:v>
                </c:pt>
                <c:pt idx="3">
                  <c:v>2018.</c:v>
                </c:pt>
                <c:pt idx="4">
                  <c:v>2019.</c:v>
                </c:pt>
                <c:pt idx="5">
                  <c:v>2020.</c:v>
                </c:pt>
                <c:pt idx="6">
                  <c:v>2021.</c:v>
                </c:pt>
                <c:pt idx="7">
                  <c:v>2022.-2025.</c:v>
                </c:pt>
              </c:strCache>
            </c:strRef>
          </c:cat>
          <c:val>
            <c:numRef>
              <c:f>CSP!$C$34:$J$34</c:f>
              <c:numCache>
                <c:formatCode>General</c:formatCode>
                <c:ptCount val="8"/>
                <c:pt idx="5" formatCode="0.00">
                  <c:v>13</c:v>
                </c:pt>
                <c:pt idx="6" formatCode="0.00">
                  <c:v>30</c:v>
                </c:pt>
                <c:pt idx="7" formatCode="0.00">
                  <c:v>5.333333333333333</c:v>
                </c:pt>
              </c:numCache>
            </c:numRef>
          </c:val>
          <c:smooth val="0"/>
          <c:extLst>
            <c:ext xmlns:c16="http://schemas.microsoft.com/office/drawing/2014/chart" uri="{C3380CC4-5D6E-409C-BE32-E72D297353CC}">
              <c16:uniqueId val="{00000000-54F9-4F94-955E-509DE3C803ED}"/>
            </c:ext>
          </c:extLst>
        </c:ser>
        <c:ser>
          <c:idx val="0"/>
          <c:order val="1"/>
          <c:tx>
            <c:strRef>
              <c:f>CSP!$A$26</c:f>
              <c:strCache>
                <c:ptCount val="1"/>
                <c:pt idx="0">
                  <c:v>Logs</c:v>
                </c:pt>
              </c:strCache>
            </c:strRef>
          </c:tx>
          <c:spPr>
            <a:ln w="19050" cap="rnd">
              <a:solidFill>
                <a:schemeClr val="accent1"/>
              </a:solidFill>
              <a:prstDash val="sysDash"/>
              <a:round/>
            </a:ln>
            <a:effectLst/>
          </c:spPr>
          <c:marker>
            <c:symbol val="none"/>
          </c:marker>
          <c:val>
            <c:numRef>
              <c:f>CSP!$C$26:$H$26</c:f>
              <c:numCache>
                <c:formatCode>General</c:formatCode>
                <c:ptCount val="6"/>
                <c:pt idx="0">
                  <c:v>-2.1</c:v>
                </c:pt>
                <c:pt idx="1">
                  <c:v>-0.9</c:v>
                </c:pt>
                <c:pt idx="2">
                  <c:v>2</c:v>
                </c:pt>
                <c:pt idx="3">
                  <c:v>5.2</c:v>
                </c:pt>
                <c:pt idx="4">
                  <c:v>-0.3</c:v>
                </c:pt>
                <c:pt idx="5">
                  <c:v>0.3</c:v>
                </c:pt>
              </c:numCache>
            </c:numRef>
          </c:val>
          <c:smooth val="0"/>
          <c:extLst>
            <c:ext xmlns:c16="http://schemas.microsoft.com/office/drawing/2014/chart" uri="{C3380CC4-5D6E-409C-BE32-E72D297353CC}">
              <c16:uniqueId val="{00000001-54F9-4F94-955E-509DE3C803ED}"/>
            </c:ext>
          </c:extLst>
        </c:ser>
        <c:ser>
          <c:idx val="1"/>
          <c:order val="2"/>
          <c:tx>
            <c:strRef>
              <c:f>CSP!$A$27</c:f>
              <c:strCache>
                <c:ptCount val="1"/>
                <c:pt idx="0">
                  <c:v>Beams, unplaned boards</c:v>
                </c:pt>
              </c:strCache>
            </c:strRef>
          </c:tx>
          <c:spPr>
            <a:ln w="19050" cap="rnd">
              <a:solidFill>
                <a:schemeClr val="accent2"/>
              </a:solidFill>
              <a:prstDash val="sysDash"/>
              <a:round/>
            </a:ln>
            <a:effectLst/>
          </c:spPr>
          <c:marker>
            <c:symbol val="none"/>
          </c:marker>
          <c:val>
            <c:numRef>
              <c:f>CSP!$C$27:$H$27</c:f>
              <c:numCache>
                <c:formatCode>General</c:formatCode>
                <c:ptCount val="6"/>
                <c:pt idx="0">
                  <c:v>0.1</c:v>
                </c:pt>
                <c:pt idx="1">
                  <c:v>0.7</c:v>
                </c:pt>
                <c:pt idx="2">
                  <c:v>1.4</c:v>
                </c:pt>
                <c:pt idx="3">
                  <c:v>4.3</c:v>
                </c:pt>
                <c:pt idx="4">
                  <c:v>1.3</c:v>
                </c:pt>
                <c:pt idx="5">
                  <c:v>0.4</c:v>
                </c:pt>
              </c:numCache>
            </c:numRef>
          </c:val>
          <c:smooth val="0"/>
          <c:extLst>
            <c:ext xmlns:c16="http://schemas.microsoft.com/office/drawing/2014/chart" uri="{C3380CC4-5D6E-409C-BE32-E72D297353CC}">
              <c16:uniqueId val="{00000002-54F9-4F94-955E-509DE3C803ED}"/>
            </c:ext>
          </c:extLst>
        </c:ser>
        <c:ser>
          <c:idx val="2"/>
          <c:order val="3"/>
          <c:tx>
            <c:strRef>
              <c:f>CSP!$A$28</c:f>
              <c:strCache>
                <c:ptCount val="1"/>
                <c:pt idx="0">
                  <c:v>Planed, grooved floor boards</c:v>
                </c:pt>
              </c:strCache>
            </c:strRef>
          </c:tx>
          <c:spPr>
            <a:ln w="19050" cap="rnd">
              <a:solidFill>
                <a:schemeClr val="accent3"/>
              </a:solidFill>
              <a:prstDash val="sysDash"/>
              <a:round/>
            </a:ln>
            <a:effectLst/>
          </c:spPr>
          <c:marker>
            <c:symbol val="none"/>
          </c:marker>
          <c:val>
            <c:numRef>
              <c:f>CSP!$C$28:$H$28</c:f>
              <c:numCache>
                <c:formatCode>General</c:formatCode>
                <c:ptCount val="6"/>
                <c:pt idx="0">
                  <c:v>6.6</c:v>
                </c:pt>
                <c:pt idx="1">
                  <c:v>3</c:v>
                </c:pt>
                <c:pt idx="2">
                  <c:v>1</c:v>
                </c:pt>
                <c:pt idx="3">
                  <c:v>6.3</c:v>
                </c:pt>
                <c:pt idx="4">
                  <c:v>4.9000000000000004</c:v>
                </c:pt>
                <c:pt idx="5">
                  <c:v>0.9</c:v>
                </c:pt>
              </c:numCache>
            </c:numRef>
          </c:val>
          <c:smooth val="0"/>
          <c:extLst>
            <c:ext xmlns:c16="http://schemas.microsoft.com/office/drawing/2014/chart" uri="{C3380CC4-5D6E-409C-BE32-E72D297353CC}">
              <c16:uniqueId val="{00000003-54F9-4F94-955E-509DE3C803ED}"/>
            </c:ext>
          </c:extLst>
        </c:ser>
        <c:ser>
          <c:idx val="3"/>
          <c:order val="4"/>
          <c:tx>
            <c:strRef>
              <c:f>CSP!$A$29</c:f>
              <c:strCache>
                <c:ptCount val="1"/>
                <c:pt idx="0">
                  <c:v>Parquet</c:v>
                </c:pt>
              </c:strCache>
            </c:strRef>
          </c:tx>
          <c:spPr>
            <a:ln w="19050" cap="rnd">
              <a:solidFill>
                <a:schemeClr val="accent4"/>
              </a:solidFill>
              <a:prstDash val="sysDash"/>
              <a:round/>
            </a:ln>
            <a:effectLst/>
          </c:spPr>
          <c:marker>
            <c:symbol val="none"/>
          </c:marker>
          <c:val>
            <c:numRef>
              <c:f>CSP!$C$29:$H$29</c:f>
              <c:numCache>
                <c:formatCode>General</c:formatCode>
                <c:ptCount val="6"/>
                <c:pt idx="0">
                  <c:v>4.9000000000000004</c:v>
                </c:pt>
                <c:pt idx="1">
                  <c:v>3.2</c:v>
                </c:pt>
                <c:pt idx="2">
                  <c:v>4</c:v>
                </c:pt>
                <c:pt idx="3">
                  <c:v>6.9</c:v>
                </c:pt>
                <c:pt idx="4">
                  <c:v>5.2</c:v>
                </c:pt>
                <c:pt idx="5">
                  <c:v>2</c:v>
                </c:pt>
              </c:numCache>
            </c:numRef>
          </c:val>
          <c:smooth val="0"/>
          <c:extLst>
            <c:ext xmlns:c16="http://schemas.microsoft.com/office/drawing/2014/chart" uri="{C3380CC4-5D6E-409C-BE32-E72D297353CC}">
              <c16:uniqueId val="{00000004-54F9-4F94-955E-509DE3C803ED}"/>
            </c:ext>
          </c:extLst>
        </c:ser>
        <c:ser>
          <c:idx val="4"/>
          <c:order val="5"/>
          <c:tx>
            <c:strRef>
              <c:f>CSP!$A$30</c:f>
              <c:strCache>
                <c:ptCount val="1"/>
                <c:pt idx="0">
                  <c:v>Plywood (veneer)</c:v>
                </c:pt>
              </c:strCache>
            </c:strRef>
          </c:tx>
          <c:spPr>
            <a:ln w="19050" cap="rnd">
              <a:solidFill>
                <a:schemeClr val="accent1">
                  <a:lumMod val="60000"/>
                  <a:lumOff val="40000"/>
                </a:schemeClr>
              </a:solidFill>
              <a:prstDash val="sysDash"/>
              <a:round/>
            </a:ln>
            <a:effectLst/>
          </c:spPr>
          <c:marker>
            <c:symbol val="none"/>
          </c:marker>
          <c:val>
            <c:numRef>
              <c:f>CSP!$C$30:$H$30</c:f>
              <c:numCache>
                <c:formatCode>General</c:formatCode>
                <c:ptCount val="6"/>
                <c:pt idx="0">
                  <c:v>4.3</c:v>
                </c:pt>
                <c:pt idx="1">
                  <c:v>-6.6</c:v>
                </c:pt>
                <c:pt idx="2">
                  <c:v>4</c:v>
                </c:pt>
                <c:pt idx="3">
                  <c:v>2.2999999999999998</c:v>
                </c:pt>
                <c:pt idx="4">
                  <c:v>-4.4000000000000004</c:v>
                </c:pt>
                <c:pt idx="5">
                  <c:v>-11.4</c:v>
                </c:pt>
              </c:numCache>
            </c:numRef>
          </c:val>
          <c:smooth val="0"/>
          <c:extLst>
            <c:ext xmlns:c16="http://schemas.microsoft.com/office/drawing/2014/chart" uri="{C3380CC4-5D6E-409C-BE32-E72D297353CC}">
              <c16:uniqueId val="{00000005-54F9-4F94-955E-509DE3C803ED}"/>
            </c:ext>
          </c:extLst>
        </c:ser>
        <c:ser>
          <c:idx val="5"/>
          <c:order val="6"/>
          <c:tx>
            <c:strRef>
              <c:f>CSP!$A$31</c:f>
              <c:strCache>
                <c:ptCount val="1"/>
                <c:pt idx="0">
                  <c:v>Fibreboard</c:v>
                </c:pt>
              </c:strCache>
            </c:strRef>
          </c:tx>
          <c:spPr>
            <a:ln w="19050" cap="rnd">
              <a:solidFill>
                <a:schemeClr val="accent6"/>
              </a:solidFill>
              <a:prstDash val="sysDash"/>
              <a:round/>
            </a:ln>
            <a:effectLst/>
          </c:spPr>
          <c:marker>
            <c:symbol val="none"/>
          </c:marker>
          <c:val>
            <c:numRef>
              <c:f>CSP!$C$31:$H$31</c:f>
              <c:numCache>
                <c:formatCode>General</c:formatCode>
                <c:ptCount val="6"/>
                <c:pt idx="0">
                  <c:v>2.1</c:v>
                </c:pt>
                <c:pt idx="1">
                  <c:v>-0.2</c:v>
                </c:pt>
                <c:pt idx="2">
                  <c:v>-0.8</c:v>
                </c:pt>
                <c:pt idx="3">
                  <c:v>1.1000000000000001</c:v>
                </c:pt>
                <c:pt idx="4">
                  <c:v>6.6</c:v>
                </c:pt>
                <c:pt idx="5">
                  <c:v>3.8</c:v>
                </c:pt>
              </c:numCache>
            </c:numRef>
          </c:val>
          <c:smooth val="0"/>
          <c:extLst>
            <c:ext xmlns:c16="http://schemas.microsoft.com/office/drawing/2014/chart" uri="{C3380CC4-5D6E-409C-BE32-E72D297353CC}">
              <c16:uniqueId val="{00000006-54F9-4F94-955E-509DE3C803ED}"/>
            </c:ext>
          </c:extLst>
        </c:ser>
        <c:ser>
          <c:idx val="6"/>
          <c:order val="7"/>
          <c:tx>
            <c:strRef>
              <c:f>CSP!$A$32</c:f>
              <c:strCache>
                <c:ptCount val="1"/>
                <c:pt idx="0">
                  <c:v>Particle board</c:v>
                </c:pt>
              </c:strCache>
            </c:strRef>
          </c:tx>
          <c:spPr>
            <a:ln w="19050" cap="rnd">
              <a:solidFill>
                <a:schemeClr val="accent1">
                  <a:lumMod val="60000"/>
                </a:schemeClr>
              </a:solidFill>
              <a:prstDash val="sysDash"/>
              <a:round/>
            </a:ln>
            <a:effectLst/>
          </c:spPr>
          <c:marker>
            <c:symbol val="none"/>
          </c:marker>
          <c:val>
            <c:numRef>
              <c:f>CSP!$C$32:$H$32</c:f>
              <c:numCache>
                <c:formatCode>General</c:formatCode>
                <c:ptCount val="6"/>
                <c:pt idx="0">
                  <c:v>0</c:v>
                </c:pt>
                <c:pt idx="1">
                  <c:v>2.5</c:v>
                </c:pt>
                <c:pt idx="2">
                  <c:v>-2</c:v>
                </c:pt>
                <c:pt idx="3">
                  <c:v>0.5</c:v>
                </c:pt>
                <c:pt idx="4">
                  <c:v>3.9</c:v>
                </c:pt>
                <c:pt idx="5">
                  <c:v>2.1</c:v>
                </c:pt>
              </c:numCache>
            </c:numRef>
          </c:val>
          <c:smooth val="0"/>
          <c:extLst>
            <c:ext xmlns:c16="http://schemas.microsoft.com/office/drawing/2014/chart" uri="{C3380CC4-5D6E-409C-BE32-E72D297353CC}">
              <c16:uniqueId val="{00000007-54F9-4F94-955E-509DE3C803ED}"/>
            </c:ext>
          </c:extLst>
        </c:ser>
        <c:dLbls>
          <c:showLegendKey val="0"/>
          <c:showVal val="0"/>
          <c:showCatName val="0"/>
          <c:showSerName val="0"/>
          <c:showPercent val="0"/>
          <c:showBubbleSize val="0"/>
        </c:dLbls>
        <c:smooth val="0"/>
        <c:axId val="462772784"/>
        <c:axId val="462776528"/>
      </c:lineChart>
      <c:catAx>
        <c:axId val="46277278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v-LV"/>
          </a:p>
        </c:txPr>
        <c:crossAx val="462776528"/>
        <c:crosses val="autoZero"/>
        <c:auto val="1"/>
        <c:lblAlgn val="ctr"/>
        <c:lblOffset val="100"/>
        <c:noMultiLvlLbl val="0"/>
      </c:catAx>
      <c:valAx>
        <c:axId val="462776528"/>
        <c:scaling>
          <c:orientation val="minMax"/>
          <c:max val="35"/>
          <c:min val="-15"/>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62772784"/>
        <c:crosses val="autoZero"/>
        <c:crossBetween val="between"/>
        <c:majorUnit val="5"/>
        <c:minorUnit val="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4045873015873018"/>
          <c:y val="5.5436507936507937E-2"/>
          <c:w val="0.54705416666666662"/>
          <c:h val="0.82765158730158728"/>
        </c:manualLayout>
      </c:layout>
      <c:barChart>
        <c:barDir val="bar"/>
        <c:grouping val="clustered"/>
        <c:varyColors val="0"/>
        <c:ser>
          <c:idx val="0"/>
          <c:order val="0"/>
          <c:tx>
            <c:strRef>
              <c:f>'Q05'!$D$6</c:f>
              <c:strCache>
                <c:ptCount val="1"/>
                <c:pt idx="0">
                  <c:v>Impact on labor costs</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'Q05'!$A$9:$A$12</c:f>
              <c:strCache>
                <c:ptCount val="4"/>
                <c:pt idx="0">
                  <c:v>Introduction of electronic working time accounting system, incl. data transfer VEDLUDB.</c:v>
                </c:pt>
                <c:pt idx="1">
                  <c:v>Lowering the threshold for the implementation of the EDLUS system (labor costs from 350,000 EUR and more).</c:v>
                </c:pt>
                <c:pt idx="2">
                  <c:v>Introduction of administrative responsibility in construction from July 1, 2020.</c:v>
                </c:pt>
                <c:pt idx="3">
                  <c:v>Entry into force of the General Agreement on the Minimum Wage in the Construction Sector.</c:v>
                </c:pt>
              </c:strCache>
            </c:strRef>
          </c:cat>
          <c:val>
            <c:numRef>
              <c:f>'Q05'!$E$134:$E$137</c:f>
              <c:numCache>
                <c:formatCode>0.00</c:formatCode>
                <c:ptCount val="4"/>
                <c:pt idx="0">
                  <c:v>4.6551724137931032</c:v>
                </c:pt>
                <c:pt idx="1">
                  <c:v>3.7454545454545456</c:v>
                </c:pt>
                <c:pt idx="2">
                  <c:v>3</c:v>
                </c:pt>
                <c:pt idx="3">
                  <c:v>4.8214285714285712</c:v>
                </c:pt>
              </c:numCache>
            </c:numRef>
          </c:val>
          <c:extLst>
            <c:ext xmlns:c16="http://schemas.microsoft.com/office/drawing/2014/chart" uri="{C3380CC4-5D6E-409C-BE32-E72D297353CC}">
              <c16:uniqueId val="{00000000-A822-4574-B97D-E3CE96C907AC}"/>
            </c:ext>
          </c:extLst>
        </c:ser>
        <c:ser>
          <c:idx val="1"/>
          <c:order val="1"/>
          <c:tx>
            <c:strRef>
              <c:f>'Q05'!$H$6</c:f>
              <c:strCache>
                <c:ptCount val="1"/>
                <c:pt idx="0">
                  <c:v>Impact on construction material costs</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'Q05'!$A$9:$A$12</c:f>
              <c:strCache>
                <c:ptCount val="4"/>
                <c:pt idx="0">
                  <c:v>Introduction of electronic working time accounting system, incl. data transfer VEDLUDB.</c:v>
                </c:pt>
                <c:pt idx="1">
                  <c:v>Lowering the threshold for the implementation of the EDLUS system (labor costs from 350,000 EUR and more).</c:v>
                </c:pt>
                <c:pt idx="2">
                  <c:v>Introduction of administrative responsibility in construction from July 1, 2020.</c:v>
                </c:pt>
                <c:pt idx="3">
                  <c:v>Entry into force of the General Agreement on the Minimum Wage in the Construction Sector.</c:v>
                </c:pt>
              </c:strCache>
            </c:strRef>
          </c:cat>
          <c:val>
            <c:numRef>
              <c:f>'Q05'!$I$134:$I$137</c:f>
              <c:numCache>
                <c:formatCode>0.00</c:formatCode>
                <c:ptCount val="4"/>
                <c:pt idx="0">
                  <c:v>2.0172413793103448</c:v>
                </c:pt>
                <c:pt idx="1">
                  <c:v>1.3272727272727274</c:v>
                </c:pt>
                <c:pt idx="2">
                  <c:v>1.6842105263157894</c:v>
                </c:pt>
                <c:pt idx="3">
                  <c:v>2.0535714285714284</c:v>
                </c:pt>
              </c:numCache>
            </c:numRef>
          </c:val>
          <c:extLst>
            <c:ext xmlns:c16="http://schemas.microsoft.com/office/drawing/2014/chart" uri="{C3380CC4-5D6E-409C-BE32-E72D297353CC}">
              <c16:uniqueId val="{00000001-A822-4574-B97D-E3CE96C907AC}"/>
            </c:ext>
          </c:extLst>
        </c:ser>
        <c:dLbls>
          <c:dLblPos val="outEnd"/>
          <c:showLegendKey val="0"/>
          <c:showVal val="1"/>
          <c:showCatName val="0"/>
          <c:showSerName val="0"/>
          <c:showPercent val="0"/>
          <c:showBubbleSize val="0"/>
        </c:dLbls>
        <c:gapWidth val="182"/>
        <c:axId val="1194102175"/>
        <c:axId val="1194102591"/>
      </c:barChart>
      <c:catAx>
        <c:axId val="119410217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194102591"/>
        <c:crosses val="autoZero"/>
        <c:auto val="1"/>
        <c:lblAlgn val="ctr"/>
        <c:lblOffset val="100"/>
        <c:noMultiLvlLbl val="0"/>
      </c:catAx>
      <c:valAx>
        <c:axId val="1194102591"/>
        <c:scaling>
          <c:orientation val="minMax"/>
          <c:max val="10"/>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194102175"/>
        <c:crosses val="max"/>
        <c:crossBetween val="between"/>
      </c:valAx>
      <c:spPr>
        <a:noFill/>
        <a:ln>
          <a:noFill/>
        </a:ln>
        <a:effectLst/>
      </c:spPr>
    </c:plotArea>
    <c:legend>
      <c:legendPos val="r"/>
      <c:layout>
        <c:manualLayout>
          <c:xMode val="edge"/>
          <c:yMode val="edge"/>
          <c:x val="0.78813035714285706"/>
          <c:y val="0.13261190476190479"/>
          <c:w val="0.19423075396825398"/>
          <c:h val="0.623903174603174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1919878233695859"/>
          <c:y val="5.5443548387096774E-2"/>
          <c:w val="0.36824012284388197"/>
          <c:h val="0.83461868173736342"/>
        </c:manualLayout>
      </c:layout>
      <c:barChart>
        <c:barDir val="bar"/>
        <c:grouping val="clustered"/>
        <c:varyColors val="0"/>
        <c:ser>
          <c:idx val="0"/>
          <c:order val="0"/>
          <c:tx>
            <c:strRef>
              <c:f>'Q06'!$C$6</c:f>
              <c:strCache>
                <c:ptCount val="1"/>
                <c:pt idx="0">
                  <c:v>Impact on labor costs</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'Q06'!$A$9:$A$15</c:f>
              <c:strCache>
                <c:ptCount val="7"/>
                <c:pt idx="0">
                  <c:v>General experts</c:v>
                </c:pt>
                <c:pt idx="1">
                  <c:v>Experts in the residential and non-residential building construction sub-sector</c:v>
                </c:pt>
                <c:pt idx="2">
                  <c:v>Experts of the transport industry construction sub-sector</c:v>
                </c:pt>
                <c:pt idx="3">
                  <c:v>Experts of the sub-sector of urban infrastructure construction</c:v>
                </c:pt>
                <c:pt idx="4">
                  <c:v>Experts of specialized construction sub-sector</c:v>
                </c:pt>
                <c:pt idx="5">
                  <c:v>Experts in the sub-sector of architectural and engineering services, technical testing and analysis</c:v>
                </c:pt>
                <c:pt idx="6">
                  <c:v>Building materials trade experts</c:v>
                </c:pt>
              </c:strCache>
            </c:strRef>
          </c:cat>
          <c:val>
            <c:numRef>
              <c:f>'Q06'!$D$9:$D$15</c:f>
              <c:numCache>
                <c:formatCode>0.00</c:formatCode>
                <c:ptCount val="7"/>
                <c:pt idx="0">
                  <c:v>4.5294117647058822</c:v>
                </c:pt>
                <c:pt idx="1">
                  <c:v>3.1428571428571428</c:v>
                </c:pt>
                <c:pt idx="2">
                  <c:v>3.1428571428571428</c:v>
                </c:pt>
                <c:pt idx="3">
                  <c:v>4.1428571428571432</c:v>
                </c:pt>
                <c:pt idx="4">
                  <c:v>4</c:v>
                </c:pt>
                <c:pt idx="5">
                  <c:v>3.875</c:v>
                </c:pt>
                <c:pt idx="6">
                  <c:v>4.2</c:v>
                </c:pt>
              </c:numCache>
            </c:numRef>
          </c:val>
          <c:extLst>
            <c:ext xmlns:c16="http://schemas.microsoft.com/office/drawing/2014/chart" uri="{C3380CC4-5D6E-409C-BE32-E72D297353CC}">
              <c16:uniqueId val="{00000000-53EA-4DFE-93A2-2576496929F5}"/>
            </c:ext>
          </c:extLst>
        </c:ser>
        <c:ser>
          <c:idx val="1"/>
          <c:order val="1"/>
          <c:tx>
            <c:strRef>
              <c:f>'Q06'!$G$6</c:f>
              <c:strCache>
                <c:ptCount val="1"/>
                <c:pt idx="0">
                  <c:v>Impact on construction material costs</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'Q06'!$A$9:$A$15</c:f>
              <c:strCache>
                <c:ptCount val="7"/>
                <c:pt idx="0">
                  <c:v>General experts</c:v>
                </c:pt>
                <c:pt idx="1">
                  <c:v>Experts in the residential and non-residential building construction sub-sector</c:v>
                </c:pt>
                <c:pt idx="2">
                  <c:v>Experts of the transport industry construction sub-sector</c:v>
                </c:pt>
                <c:pt idx="3">
                  <c:v>Experts of the sub-sector of urban infrastructure construction</c:v>
                </c:pt>
                <c:pt idx="4">
                  <c:v>Experts of specialized construction sub-sector</c:v>
                </c:pt>
                <c:pt idx="5">
                  <c:v>Experts in the sub-sector of architectural and engineering services, technical testing and analysis</c:v>
                </c:pt>
                <c:pt idx="6">
                  <c:v>Building materials trade experts</c:v>
                </c:pt>
              </c:strCache>
            </c:strRef>
          </c:cat>
          <c:val>
            <c:numRef>
              <c:f>'Q06'!$H$9:$H$15</c:f>
              <c:numCache>
                <c:formatCode>0.00</c:formatCode>
                <c:ptCount val="7"/>
                <c:pt idx="0">
                  <c:v>5.7058823529411766</c:v>
                </c:pt>
                <c:pt idx="1">
                  <c:v>7.7142857142857144</c:v>
                </c:pt>
                <c:pt idx="2">
                  <c:v>1.8571428571428572</c:v>
                </c:pt>
                <c:pt idx="3">
                  <c:v>6.1428571428571432</c:v>
                </c:pt>
                <c:pt idx="4">
                  <c:v>5</c:v>
                </c:pt>
                <c:pt idx="5">
                  <c:v>6.875</c:v>
                </c:pt>
                <c:pt idx="6">
                  <c:v>5</c:v>
                </c:pt>
              </c:numCache>
            </c:numRef>
          </c:val>
          <c:extLst>
            <c:ext xmlns:c16="http://schemas.microsoft.com/office/drawing/2014/chart" uri="{C3380CC4-5D6E-409C-BE32-E72D297353CC}">
              <c16:uniqueId val="{00000001-53EA-4DFE-93A2-2576496929F5}"/>
            </c:ext>
          </c:extLst>
        </c:ser>
        <c:dLbls>
          <c:dLblPos val="outEnd"/>
          <c:showLegendKey val="0"/>
          <c:showVal val="1"/>
          <c:showCatName val="0"/>
          <c:showSerName val="0"/>
          <c:showPercent val="0"/>
          <c:showBubbleSize val="0"/>
        </c:dLbls>
        <c:gapWidth val="182"/>
        <c:axId val="1194102175"/>
        <c:axId val="1194102591"/>
      </c:barChart>
      <c:catAx>
        <c:axId val="119410217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194102591"/>
        <c:crosses val="autoZero"/>
        <c:auto val="1"/>
        <c:lblAlgn val="ctr"/>
        <c:lblOffset val="100"/>
        <c:noMultiLvlLbl val="0"/>
      </c:catAx>
      <c:valAx>
        <c:axId val="1194102591"/>
        <c:scaling>
          <c:orientation val="minMax"/>
          <c:max val="1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194102175"/>
        <c:crosses val="max"/>
        <c:crossBetween val="between"/>
      </c:valAx>
      <c:spPr>
        <a:noFill/>
        <a:ln w="25400">
          <a:noFill/>
        </a:ln>
        <a:effectLst/>
      </c:spPr>
    </c:plotArea>
    <c:legend>
      <c:legendPos val="r"/>
      <c:layout>
        <c:manualLayout>
          <c:xMode val="edge"/>
          <c:yMode val="edge"/>
          <c:x val="0.72776148582600197"/>
          <c:y val="0.36946040767081534"/>
          <c:w val="0.25757575757575762"/>
          <c:h val="0.361885636271272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lv-LV" sz="1000"/>
              <a:t>Volume of construction output and volume of EU fund projects in 2015-2020, approved payments in 2021-2023 and projected volume of construction output in 2021-2023, in millions of euros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manualLayout>
          <c:layoutTarget val="inner"/>
          <c:xMode val="edge"/>
          <c:yMode val="edge"/>
          <c:x val="0.34111664569116573"/>
          <c:y val="0.20342866869576848"/>
          <c:w val="0.6379431854825508"/>
          <c:h val="0.39219592855724378"/>
        </c:manualLayout>
      </c:layout>
      <c:lineChart>
        <c:grouping val="standard"/>
        <c:varyColors val="0"/>
        <c:ser>
          <c:idx val="0"/>
          <c:order val="0"/>
          <c:tx>
            <c:strRef>
              <c:f>'3.Būvniecības produkcija'!$K$41</c:f>
              <c:strCache>
                <c:ptCount val="1"/>
                <c:pt idx="0">
                  <c:v>Total expenditure on construction - related projects implemented only by public authorities (public authorities, municipalities, planning regions, etc.)</c:v>
                </c:pt>
              </c:strCache>
            </c:strRef>
          </c:tx>
          <c:spPr>
            <a:ln w="28575" cap="rnd">
              <a:solidFill>
                <a:schemeClr val="accent1"/>
              </a:solidFill>
              <a:round/>
            </a:ln>
            <a:effectLst/>
          </c:spPr>
          <c:marker>
            <c:symbol val="none"/>
          </c:marker>
          <c:cat>
            <c:strRef>
              <c:f>'3.Būvniecības produkcija'!$N$40:$U$40</c:f>
              <c:strCache>
                <c:ptCount val="8"/>
                <c:pt idx="0">
                  <c:v>2016.</c:v>
                </c:pt>
                <c:pt idx="1">
                  <c:v>2017.</c:v>
                </c:pt>
                <c:pt idx="2">
                  <c:v>2018.</c:v>
                </c:pt>
                <c:pt idx="3">
                  <c:v>2019.</c:v>
                </c:pt>
                <c:pt idx="4">
                  <c:v>2020.</c:v>
                </c:pt>
                <c:pt idx="5">
                  <c:v>2021.(p)</c:v>
                </c:pt>
                <c:pt idx="6">
                  <c:v>2022.(p)</c:v>
                </c:pt>
                <c:pt idx="7">
                  <c:v>2023.(p)</c:v>
                </c:pt>
              </c:strCache>
            </c:strRef>
          </c:cat>
          <c:val>
            <c:numRef>
              <c:f>'3.Būvniecības produkcija'!$N$41:$S$41</c:f>
              <c:numCache>
                <c:formatCode>#,##0</c:formatCode>
                <c:ptCount val="6"/>
                <c:pt idx="0">
                  <c:v>348.93420365097296</c:v>
                </c:pt>
                <c:pt idx="1">
                  <c:v>245.79838133557917</c:v>
                </c:pt>
                <c:pt idx="2">
                  <c:v>360.29318106699395</c:v>
                </c:pt>
                <c:pt idx="3">
                  <c:v>428.1022956219324</c:v>
                </c:pt>
                <c:pt idx="4">
                  <c:v>451.10733949775755</c:v>
                </c:pt>
                <c:pt idx="5">
                  <c:v>325.74674791873321</c:v>
                </c:pt>
              </c:numCache>
            </c:numRef>
          </c:val>
          <c:smooth val="0"/>
          <c:extLst>
            <c:ext xmlns:c16="http://schemas.microsoft.com/office/drawing/2014/chart" uri="{C3380CC4-5D6E-409C-BE32-E72D297353CC}">
              <c16:uniqueId val="{00000000-5CD8-405D-8686-CE2963C76464}"/>
            </c:ext>
          </c:extLst>
        </c:ser>
        <c:ser>
          <c:idx val="1"/>
          <c:order val="1"/>
          <c:tx>
            <c:strRef>
              <c:f>'3.Būvniecības produkcija'!$K$42</c:f>
              <c:strCache>
                <c:ptCount val="1"/>
                <c:pt idx="0">
                  <c:v>Total expenditure on construction - related projects implemented by both public and private institutions</c:v>
                </c:pt>
              </c:strCache>
            </c:strRef>
          </c:tx>
          <c:spPr>
            <a:ln w="28575" cap="rnd">
              <a:solidFill>
                <a:schemeClr val="accent2"/>
              </a:solidFill>
              <a:round/>
            </a:ln>
            <a:effectLst/>
          </c:spPr>
          <c:marker>
            <c:symbol val="none"/>
          </c:marker>
          <c:cat>
            <c:strRef>
              <c:f>'3.Būvniecības produkcija'!$N$40:$U$40</c:f>
              <c:strCache>
                <c:ptCount val="8"/>
                <c:pt idx="0">
                  <c:v>2016.</c:v>
                </c:pt>
                <c:pt idx="1">
                  <c:v>2017.</c:v>
                </c:pt>
                <c:pt idx="2">
                  <c:v>2018.</c:v>
                </c:pt>
                <c:pt idx="3">
                  <c:v>2019.</c:v>
                </c:pt>
                <c:pt idx="4">
                  <c:v>2020.</c:v>
                </c:pt>
                <c:pt idx="5">
                  <c:v>2021.(p)</c:v>
                </c:pt>
                <c:pt idx="6">
                  <c:v>2022.(p)</c:v>
                </c:pt>
                <c:pt idx="7">
                  <c:v>2023.(p)</c:v>
                </c:pt>
              </c:strCache>
            </c:strRef>
          </c:cat>
          <c:val>
            <c:numRef>
              <c:f>'3.Būvniecības produkcija'!$N$42:$S$42</c:f>
              <c:numCache>
                <c:formatCode>#,##0</c:formatCode>
                <c:ptCount val="6"/>
                <c:pt idx="0">
                  <c:v>528.01265974967964</c:v>
                </c:pt>
                <c:pt idx="1">
                  <c:v>279.40419523770424</c:v>
                </c:pt>
                <c:pt idx="2">
                  <c:v>508.5977106309569</c:v>
                </c:pt>
                <c:pt idx="3">
                  <c:v>619.75620512809542</c:v>
                </c:pt>
                <c:pt idx="4">
                  <c:v>690.77968343067164</c:v>
                </c:pt>
                <c:pt idx="5">
                  <c:v>555.8963840095463</c:v>
                </c:pt>
              </c:numCache>
            </c:numRef>
          </c:val>
          <c:smooth val="0"/>
          <c:extLst>
            <c:ext xmlns:c16="http://schemas.microsoft.com/office/drawing/2014/chart" uri="{C3380CC4-5D6E-409C-BE32-E72D297353CC}">
              <c16:uniqueId val="{00000001-5CD8-405D-8686-CE2963C76464}"/>
            </c:ext>
          </c:extLst>
        </c:ser>
        <c:ser>
          <c:idx val="2"/>
          <c:order val="2"/>
          <c:tx>
            <c:strRef>
              <c:f>'3.Būvniecības produkcija'!$K$43</c:f>
              <c:strCache>
                <c:ptCount val="1"/>
                <c:pt idx="0">
                  <c:v>Volume of construction output by industries, at current prices</c:v>
                </c:pt>
              </c:strCache>
            </c:strRef>
          </c:tx>
          <c:spPr>
            <a:ln w="28575" cap="rnd">
              <a:solidFill>
                <a:schemeClr val="accent3"/>
              </a:solidFill>
              <a:round/>
            </a:ln>
            <a:effectLst/>
          </c:spPr>
          <c:marker>
            <c:symbol val="none"/>
          </c:marker>
          <c:cat>
            <c:strRef>
              <c:f>'3.Būvniecības produkcija'!$N$40:$U$40</c:f>
              <c:strCache>
                <c:ptCount val="8"/>
                <c:pt idx="0">
                  <c:v>2016.</c:v>
                </c:pt>
                <c:pt idx="1">
                  <c:v>2017.</c:v>
                </c:pt>
                <c:pt idx="2">
                  <c:v>2018.</c:v>
                </c:pt>
                <c:pt idx="3">
                  <c:v>2019.</c:v>
                </c:pt>
                <c:pt idx="4">
                  <c:v>2020.</c:v>
                </c:pt>
                <c:pt idx="5">
                  <c:v>2021.(p)</c:v>
                </c:pt>
                <c:pt idx="6">
                  <c:v>2022.(p)</c:v>
                </c:pt>
                <c:pt idx="7">
                  <c:v>2023.(p)</c:v>
                </c:pt>
              </c:strCache>
            </c:strRef>
          </c:cat>
          <c:val>
            <c:numRef>
              <c:f>'3.Būvniecības produkcija'!$N$43:$U$43</c:f>
              <c:numCache>
                <c:formatCode>#,##0</c:formatCode>
                <c:ptCount val="8"/>
                <c:pt idx="0">
                  <c:v>1425.9523999999999</c:v>
                </c:pt>
                <c:pt idx="1">
                  <c:v>1735.9518</c:v>
                </c:pt>
                <c:pt idx="2">
                  <c:v>2187.0601000000001</c:v>
                </c:pt>
                <c:pt idx="3">
                  <c:v>2342.3764000000006</c:v>
                </c:pt>
                <c:pt idx="4">
                  <c:v>2420.3285999999998</c:v>
                </c:pt>
                <c:pt idx="5">
                  <c:v>2580.8197120603663</c:v>
                </c:pt>
                <c:pt idx="6">
                  <c:v>2765.0965344818283</c:v>
                </c:pt>
                <c:pt idx="7">
                  <c:v>2944.0699291693445</c:v>
                </c:pt>
              </c:numCache>
            </c:numRef>
          </c:val>
          <c:smooth val="0"/>
          <c:extLst>
            <c:ext xmlns:c16="http://schemas.microsoft.com/office/drawing/2014/chart" uri="{C3380CC4-5D6E-409C-BE32-E72D297353CC}">
              <c16:uniqueId val="{00000002-5CD8-405D-8686-CE2963C76464}"/>
            </c:ext>
          </c:extLst>
        </c:ser>
        <c:dLbls>
          <c:showLegendKey val="0"/>
          <c:showVal val="0"/>
          <c:showCatName val="0"/>
          <c:showSerName val="0"/>
          <c:showPercent val="0"/>
          <c:showBubbleSize val="0"/>
        </c:dLbls>
        <c:smooth val="0"/>
        <c:axId val="5721168"/>
        <c:axId val="5717840"/>
      </c:lineChart>
      <c:catAx>
        <c:axId val="572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717840"/>
        <c:crosses val="autoZero"/>
        <c:auto val="1"/>
        <c:lblAlgn val="ctr"/>
        <c:lblOffset val="100"/>
        <c:noMultiLvlLbl val="0"/>
      </c:catAx>
      <c:valAx>
        <c:axId val="571784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7211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lv-LV" sz="1000"/>
              <a:t>Proportion of the average distribution of the Latvian Recovery Plan in the forecasted volume of construction output, mln. euro</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stacked"/>
        <c:varyColors val="0"/>
        <c:ser>
          <c:idx val="0"/>
          <c:order val="0"/>
          <c:tx>
            <c:strRef>
              <c:f>Sheet1!$B$1</c:f>
              <c:strCache>
                <c:ptCount val="1"/>
                <c:pt idx="0">
                  <c:v>Average equalized construction part of the Latvian Recovery Plan grant</c:v>
                </c:pt>
              </c:strCache>
            </c:strRef>
          </c:tx>
          <c:spPr>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a:effectLst/>
          </c:spPr>
          <c:invertIfNegative val="0"/>
          <c:dLbls>
            <c:dLbl>
              <c:idx val="0"/>
              <c:layout>
                <c:manualLayout>
                  <c:x val="0.12910110482420847"/>
                  <c:y val="-3.97504900495034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437-407C-8A79-CA34D2CF26DF}"/>
                </c:ext>
              </c:extLst>
            </c:dLbl>
            <c:dLbl>
              <c:idx val="1"/>
              <c:layout>
                <c:manualLayout>
                  <c:x val="0.13854179031641145"/>
                  <c:y val="-4.502475165287883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37-407C-8A79-CA34D2CF26DF}"/>
                </c:ext>
              </c:extLst>
            </c:dLbl>
            <c:dLbl>
              <c:idx val="2"/>
              <c:layout>
                <c:manualLayout>
                  <c:x val="0.12125874341084258"/>
                  <c:y val="-5.029901325625436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37-407C-8A79-CA34D2CF26DF}"/>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2"/>
                    </a:solidFill>
                    <a:latin typeface="+mn-lt"/>
                    <a:ea typeface="+mn-ea"/>
                    <a:cs typeface="+mn-cs"/>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2021</c:v>
                </c:pt>
                <c:pt idx="1">
                  <c:v>2022</c:v>
                </c:pt>
                <c:pt idx="2">
                  <c:v>2023</c:v>
                </c:pt>
              </c:numCache>
            </c:numRef>
          </c:cat>
          <c:val>
            <c:numRef>
              <c:f>Sheet1!$B$2:$B$4</c:f>
              <c:numCache>
                <c:formatCode>General</c:formatCode>
                <c:ptCount val="3"/>
                <c:pt idx="0">
                  <c:v>237</c:v>
                </c:pt>
                <c:pt idx="1">
                  <c:v>237</c:v>
                </c:pt>
                <c:pt idx="2">
                  <c:v>237</c:v>
                </c:pt>
              </c:numCache>
            </c:numRef>
          </c:val>
          <c:extLst>
            <c:ext xmlns:c16="http://schemas.microsoft.com/office/drawing/2014/chart" uri="{C3380CC4-5D6E-409C-BE32-E72D297353CC}">
              <c16:uniqueId val="{00000003-8437-407C-8A79-CA34D2CF26DF}"/>
            </c:ext>
          </c:extLst>
        </c:ser>
        <c:ser>
          <c:idx val="1"/>
          <c:order val="1"/>
          <c:tx>
            <c:strRef>
              <c:f>Sheet1!$C$1</c:f>
              <c:strCache>
                <c:ptCount val="1"/>
                <c:pt idx="0">
                  <c:v>Average adjusted Rail Baltica project expenses in Latvia</c:v>
                </c:pt>
              </c:strCache>
            </c:strRef>
          </c:tx>
          <c:spPr>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a:effectLst/>
          </c:spPr>
          <c:invertIfNegative val="0"/>
          <c:dLbls>
            <c:dLbl>
              <c:idx val="0"/>
              <c:layout>
                <c:manualLayout>
                  <c:x val="0.11446119486320491"/>
                  <c:y val="-8.4388185654008435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solidFill>
                      <a:latin typeface="+mn-lt"/>
                      <a:ea typeface="+mn-ea"/>
                      <a:cs typeface="+mn-cs"/>
                    </a:defRPr>
                  </a:pPr>
                  <a:endParaRPr lang="lv-LV"/>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437-407C-8A79-CA34D2CF26DF}"/>
                </c:ext>
              </c:extLst>
            </c:dLbl>
            <c:dLbl>
              <c:idx val="1"/>
              <c:layout>
                <c:manualLayout>
                  <c:x val="0.11446119486320491"/>
                  <c:y val="-0.1002109704641351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solidFill>
                      <a:latin typeface="+mn-lt"/>
                      <a:ea typeface="+mn-ea"/>
                      <a:cs typeface="+mn-cs"/>
                    </a:defRPr>
                  </a:pPr>
                  <a:endParaRPr lang="lv-LV"/>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437-407C-8A79-CA34D2CF26DF}"/>
                </c:ext>
              </c:extLst>
            </c:dLbl>
            <c:dLbl>
              <c:idx val="2"/>
              <c:layout>
                <c:manualLayout>
                  <c:x val="9.2127303182579459E-2"/>
                  <c:y val="-0.12658227848101269"/>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solidFill>
                      <a:latin typeface="+mn-lt"/>
                      <a:ea typeface="+mn-ea"/>
                      <a:cs typeface="+mn-cs"/>
                    </a:defRPr>
                  </a:pPr>
                  <a:endParaRPr lang="lv-LV"/>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437-407C-8A79-CA34D2CF26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2021</c:v>
                </c:pt>
                <c:pt idx="1">
                  <c:v>2022</c:v>
                </c:pt>
                <c:pt idx="2">
                  <c:v>2023</c:v>
                </c:pt>
              </c:numCache>
            </c:numRef>
          </c:cat>
          <c:val>
            <c:numRef>
              <c:f>Sheet1!$C$2:$C$4</c:f>
              <c:numCache>
                <c:formatCode>General</c:formatCode>
                <c:ptCount val="3"/>
                <c:pt idx="0">
                  <c:v>281</c:v>
                </c:pt>
                <c:pt idx="1">
                  <c:v>281</c:v>
                </c:pt>
                <c:pt idx="2">
                  <c:v>281</c:v>
                </c:pt>
              </c:numCache>
            </c:numRef>
          </c:val>
          <c:extLst>
            <c:ext xmlns:c16="http://schemas.microsoft.com/office/drawing/2014/chart" uri="{C3380CC4-5D6E-409C-BE32-E72D297353CC}">
              <c16:uniqueId val="{00000007-8437-407C-8A79-CA34D2CF26DF}"/>
            </c:ext>
          </c:extLst>
        </c:ser>
        <c:ser>
          <c:idx val="2"/>
          <c:order val="2"/>
          <c:tx>
            <c:strRef>
              <c:f>Sheet1!$D$1</c:f>
              <c:strCache>
                <c:ptCount val="1"/>
                <c:pt idx="0">
                  <c:v>Projected volume of construction output</c:v>
                </c:pt>
              </c:strCache>
            </c:strRef>
          </c:tx>
          <c:spPr>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2021</c:v>
                </c:pt>
                <c:pt idx="1">
                  <c:v>2022</c:v>
                </c:pt>
                <c:pt idx="2">
                  <c:v>2023</c:v>
                </c:pt>
              </c:numCache>
            </c:numRef>
          </c:cat>
          <c:val>
            <c:numRef>
              <c:f>Sheet1!$D$2:$D$4</c:f>
              <c:numCache>
                <c:formatCode>General</c:formatCode>
                <c:ptCount val="3"/>
                <c:pt idx="0">
                  <c:v>2581</c:v>
                </c:pt>
                <c:pt idx="1">
                  <c:v>2765</c:v>
                </c:pt>
                <c:pt idx="2">
                  <c:v>2944</c:v>
                </c:pt>
              </c:numCache>
            </c:numRef>
          </c:val>
          <c:extLst>
            <c:ext xmlns:c16="http://schemas.microsoft.com/office/drawing/2014/chart" uri="{C3380CC4-5D6E-409C-BE32-E72D297353CC}">
              <c16:uniqueId val="{00000008-8437-407C-8A79-CA34D2CF26DF}"/>
            </c:ext>
          </c:extLst>
        </c:ser>
        <c:dLbls>
          <c:showLegendKey val="0"/>
          <c:showVal val="0"/>
          <c:showCatName val="0"/>
          <c:showSerName val="0"/>
          <c:showPercent val="0"/>
          <c:showBubbleSize val="0"/>
        </c:dLbls>
        <c:gapWidth val="150"/>
        <c:overlap val="100"/>
        <c:axId val="1023535392"/>
        <c:axId val="1023523328"/>
      </c:barChart>
      <c:catAx>
        <c:axId val="102353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023523328"/>
        <c:crosses val="autoZero"/>
        <c:auto val="1"/>
        <c:lblAlgn val="ctr"/>
        <c:lblOffset val="100"/>
        <c:noMultiLvlLbl val="0"/>
      </c:catAx>
      <c:valAx>
        <c:axId val="10235233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023535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lv-LV" sz="1000" b="1" i="0" baseline="0">
                <a:solidFill>
                  <a:sysClr val="windowText" lastClr="000000"/>
                </a:solidFill>
                <a:effectLst/>
              </a:rPr>
              <a:t>Changes in construction costs due to changes in the volume of construction output</a:t>
            </a:r>
            <a:endParaRPr lang="lv-LV" sz="1000">
              <a:solidFill>
                <a:sysClr val="windowText" lastClr="000000"/>
              </a:solidFill>
              <a:effectLst/>
            </a:endParaRPr>
          </a:p>
        </c:rich>
      </c:tx>
      <c:overlay val="0"/>
      <c:spPr>
        <a:noFill/>
        <a:ln>
          <a:noFill/>
        </a:ln>
        <a:effectLst/>
      </c:spPr>
    </c:title>
    <c:autoTitleDeleted val="0"/>
    <c:plotArea>
      <c:layout>
        <c:manualLayout>
          <c:layoutTarget val="inner"/>
          <c:xMode val="edge"/>
          <c:yMode val="edge"/>
          <c:x val="0.10607"/>
          <c:y val="0.17344907407407406"/>
          <c:w val="0.86181722222222212"/>
          <c:h val="0.79421296296296306"/>
        </c:manualLayout>
      </c:layout>
      <c:lineChart>
        <c:grouping val="standard"/>
        <c:varyColors val="0"/>
        <c:ser>
          <c:idx val="1"/>
          <c:order val="0"/>
          <c:tx>
            <c:v>Construction cost changes</c:v>
          </c:tx>
          <c:spPr>
            <a:ln w="25400" cap="rnd" cmpd="sng">
              <a:solidFill>
                <a:schemeClr val="tx1"/>
              </a:solidFill>
              <a:prstDash val="sysDash"/>
              <a:round/>
            </a:ln>
            <a:effectLst/>
          </c:spPr>
          <c:marker>
            <c:symbol val="none"/>
          </c:marker>
          <c:cat>
            <c:numRef>
              <c:f>Sheet1!$A$2:$A$19</c:f>
              <c:numCache>
                <c:formatCode>General</c:formatCode>
                <c:ptCount val="18"/>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numCache>
            </c:numRef>
          </c:cat>
          <c:val>
            <c:numRef>
              <c:f>Sheet1!$J$2:$J$16</c:f>
              <c:numCache>
                <c:formatCode>General</c:formatCode>
                <c:ptCount val="15"/>
                <c:pt idx="0">
                  <c:v>20.900000000000006</c:v>
                </c:pt>
                <c:pt idx="1">
                  <c:v>26.200000000000003</c:v>
                </c:pt>
                <c:pt idx="2">
                  <c:v>14.400000000000006</c:v>
                </c:pt>
                <c:pt idx="3">
                  <c:v>-10.900000000000006</c:v>
                </c:pt>
                <c:pt idx="4">
                  <c:v>-2.7000000000000028</c:v>
                </c:pt>
                <c:pt idx="5">
                  <c:v>2.0999999999999943</c:v>
                </c:pt>
                <c:pt idx="6">
                  <c:v>6.7999999999999972</c:v>
                </c:pt>
                <c:pt idx="7">
                  <c:v>2.5</c:v>
                </c:pt>
                <c:pt idx="8">
                  <c:v>0.40000000000000568</c:v>
                </c:pt>
                <c:pt idx="9">
                  <c:v>9.9999999999994316E-2</c:v>
                </c:pt>
                <c:pt idx="10">
                  <c:v>-0.5</c:v>
                </c:pt>
                <c:pt idx="11">
                  <c:v>1.9000000000000057</c:v>
                </c:pt>
                <c:pt idx="12">
                  <c:v>4.4000000000000004</c:v>
                </c:pt>
                <c:pt idx="13">
                  <c:v>4.0999999999999996</c:v>
                </c:pt>
                <c:pt idx="14">
                  <c:v>1.3</c:v>
                </c:pt>
              </c:numCache>
            </c:numRef>
          </c:val>
          <c:smooth val="1"/>
          <c:extLst>
            <c:ext xmlns:c16="http://schemas.microsoft.com/office/drawing/2014/chart" uri="{C3380CC4-5D6E-409C-BE32-E72D297353CC}">
              <c16:uniqueId val="{00000000-8550-4966-8E76-022A187AEBC8}"/>
            </c:ext>
          </c:extLst>
        </c:ser>
        <c:ser>
          <c:idx val="3"/>
          <c:order val="1"/>
          <c:tx>
            <c:v>Combined construction cost forecast</c:v>
          </c:tx>
          <c:spPr>
            <a:ln w="25400">
              <a:prstDash val="sysDash"/>
            </a:ln>
          </c:spPr>
          <c:marker>
            <c:symbol val="none"/>
          </c:marker>
          <c:dLbls>
            <c:dLbl>
              <c:idx val="15"/>
              <c:layout>
                <c:manualLayout>
                  <c:x val="-4.3757616040766591E-2"/>
                  <c:y val="3.3808479532163746E-2"/>
                </c:manualLayout>
              </c:layout>
              <c:numFmt formatCode="#,##0.0" sourceLinked="0"/>
              <c:spPr>
                <a:noFill/>
                <a:ln>
                  <a:noFill/>
                </a:ln>
                <a:effectLst/>
              </c:spPr>
              <c:txPr>
                <a:bodyPr wrap="square" lIns="38100" tIns="19050" rIns="38100" bIns="19050" anchor="ctr">
                  <a:spAutoFit/>
                </a:bodyPr>
                <a:lstStyle/>
                <a:p>
                  <a:pPr>
                    <a:defRPr b="1">
                      <a:solidFill>
                        <a:schemeClr val="accent2"/>
                      </a:solidFill>
                    </a:defRPr>
                  </a:pPr>
                  <a:endParaRPr lang="lv-L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550-4966-8E76-022A187AEBC8}"/>
                </c:ext>
              </c:extLst>
            </c:dLbl>
            <c:dLbl>
              <c:idx val="16"/>
              <c:layout>
                <c:manualLayout>
                  <c:x val="-3.2679738562091665E-2"/>
                  <c:y val="3.0153508771929825E-2"/>
                </c:manualLayout>
              </c:layout>
              <c:numFmt formatCode="#,##0.0" sourceLinked="0"/>
              <c:spPr>
                <a:noFill/>
                <a:ln>
                  <a:noFill/>
                </a:ln>
                <a:effectLst/>
              </c:spPr>
              <c:txPr>
                <a:bodyPr wrap="square" lIns="38100" tIns="19050" rIns="38100" bIns="19050" anchor="ctr">
                  <a:spAutoFit/>
                </a:bodyPr>
                <a:lstStyle/>
                <a:p>
                  <a:pPr>
                    <a:defRPr b="1">
                      <a:solidFill>
                        <a:schemeClr val="accent2"/>
                      </a:solidFill>
                    </a:defRPr>
                  </a:pPr>
                  <a:endParaRPr lang="lv-L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550-4966-8E76-022A187AEBC8}"/>
                </c:ext>
              </c:extLst>
            </c:dLbl>
            <c:dLbl>
              <c:idx val="17"/>
              <c:layout>
                <c:manualLayout>
                  <c:x val="-8.3084081090063142E-3"/>
                  <c:y val="1.5533625730994151E-2"/>
                </c:manualLayout>
              </c:layout>
              <c:numFmt formatCode="#,##0.0" sourceLinked="0"/>
              <c:spPr>
                <a:noFill/>
                <a:ln>
                  <a:noFill/>
                </a:ln>
                <a:effectLst/>
              </c:spPr>
              <c:txPr>
                <a:bodyPr wrap="square" lIns="38100" tIns="19050" rIns="38100" bIns="19050" anchor="ctr">
                  <a:spAutoFit/>
                </a:bodyPr>
                <a:lstStyle/>
                <a:p>
                  <a:pPr>
                    <a:defRPr b="1">
                      <a:solidFill>
                        <a:schemeClr val="accent2"/>
                      </a:solidFill>
                    </a:defRPr>
                  </a:pPr>
                  <a:endParaRPr lang="lv-L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550-4966-8E76-022A187AEBC8}"/>
                </c:ext>
              </c:extLst>
            </c:dLbl>
            <c:numFmt formatCode="#,##0.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Sheet1!$A$2:$A$19</c:f>
              <c:numCache>
                <c:formatCode>General</c:formatCode>
                <c:ptCount val="18"/>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numCache>
            </c:numRef>
          </c:cat>
          <c:val>
            <c:numRef>
              <c:f>Sheet1!$O$2:$O$19</c:f>
              <c:numCache>
                <c:formatCode>General</c:formatCode>
                <c:ptCount val="18"/>
                <c:pt idx="15" formatCode="0.00">
                  <c:v>6.6</c:v>
                </c:pt>
                <c:pt idx="16" formatCode="0.00">
                  <c:v>5.6</c:v>
                </c:pt>
                <c:pt idx="17" formatCode="0.00">
                  <c:v>3.7</c:v>
                </c:pt>
              </c:numCache>
            </c:numRef>
          </c:val>
          <c:smooth val="1"/>
          <c:extLst>
            <c:ext xmlns:c16="http://schemas.microsoft.com/office/drawing/2014/chart" uri="{C3380CC4-5D6E-409C-BE32-E72D297353CC}">
              <c16:uniqueId val="{00000001-8550-4966-8E76-022A187AEBC8}"/>
            </c:ext>
          </c:extLst>
        </c:ser>
        <c:ser>
          <c:idx val="0"/>
          <c:order val="2"/>
          <c:tx>
            <c:v>Combined construction cost forecast</c:v>
          </c:tx>
          <c:spPr>
            <a:ln w="25400" cap="rnd">
              <a:solidFill>
                <a:schemeClr val="tx1">
                  <a:lumMod val="65000"/>
                  <a:lumOff val="35000"/>
                </a:schemeClr>
              </a:solidFill>
              <a:prstDash val="solid"/>
              <a:round/>
            </a:ln>
            <a:effectLst/>
          </c:spPr>
          <c:marker>
            <c:symbol val="none"/>
          </c:marker>
          <c:cat>
            <c:numRef>
              <c:f>Sheet1!$A$2:$A$19</c:f>
              <c:numCache>
                <c:formatCode>General</c:formatCode>
                <c:ptCount val="18"/>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numCache>
            </c:numRef>
          </c:cat>
          <c:val>
            <c:numRef>
              <c:f>Sheet1!$B$2:$B$16</c:f>
              <c:numCache>
                <c:formatCode>General</c:formatCode>
                <c:ptCount val="15"/>
                <c:pt idx="0">
                  <c:v>14</c:v>
                </c:pt>
                <c:pt idx="1">
                  <c:v>12.3</c:v>
                </c:pt>
                <c:pt idx="2">
                  <c:v>-2.8</c:v>
                </c:pt>
                <c:pt idx="3">
                  <c:v>-44.4</c:v>
                </c:pt>
                <c:pt idx="4">
                  <c:v>-15.7</c:v>
                </c:pt>
                <c:pt idx="5">
                  <c:v>12.2</c:v>
                </c:pt>
                <c:pt idx="6">
                  <c:v>14.8</c:v>
                </c:pt>
                <c:pt idx="7">
                  <c:v>7.3</c:v>
                </c:pt>
                <c:pt idx="8">
                  <c:v>10.6</c:v>
                </c:pt>
                <c:pt idx="9">
                  <c:v>-0.6</c:v>
                </c:pt>
                <c:pt idx="10">
                  <c:v>-16.600000000000001</c:v>
                </c:pt>
                <c:pt idx="11">
                  <c:v>18.600000000000001</c:v>
                </c:pt>
                <c:pt idx="12">
                  <c:v>21.9</c:v>
                </c:pt>
                <c:pt idx="13">
                  <c:v>2.9</c:v>
                </c:pt>
                <c:pt idx="14">
                  <c:v>2.7</c:v>
                </c:pt>
              </c:numCache>
            </c:numRef>
          </c:val>
          <c:smooth val="1"/>
          <c:extLst>
            <c:ext xmlns:c16="http://schemas.microsoft.com/office/drawing/2014/chart" uri="{C3380CC4-5D6E-409C-BE32-E72D297353CC}">
              <c16:uniqueId val="{00000002-8550-4966-8E76-022A187AEBC8}"/>
            </c:ext>
          </c:extLst>
        </c:ser>
        <c:ser>
          <c:idx val="2"/>
          <c:order val="3"/>
          <c:tx>
            <c:v>Combined forecast of construction output</c:v>
          </c:tx>
          <c:spPr>
            <a:ln w="25400"/>
          </c:spPr>
          <c:marker>
            <c:symbol val="none"/>
          </c:marker>
          <c:dLbls>
            <c:dLbl>
              <c:idx val="15"/>
              <c:layout>
                <c:manualLayout>
                  <c:x val="-5.3727705771574166E-2"/>
                  <c:y val="-5.39108187134502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550-4966-8E76-022A187AEBC8}"/>
                </c:ext>
              </c:extLst>
            </c:dLbl>
            <c:dLbl>
              <c:idx val="16"/>
              <c:layout>
                <c:manualLayout>
                  <c:x val="-3.8218677301429207E-2"/>
                  <c:y val="-5.39108187134503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550-4966-8E76-022A187AEBC8}"/>
                </c:ext>
              </c:extLst>
            </c:dLbl>
            <c:dLbl>
              <c:idx val="17"/>
              <c:layout>
                <c:manualLayout>
                  <c:x val="-1.6725675990401499E-2"/>
                  <c:y val="-7.58406432748538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50-4966-8E76-022A187AEBC8}"/>
                </c:ext>
              </c:extLst>
            </c:dLbl>
            <c:numFmt formatCode="#,##0.0" sourceLinked="0"/>
            <c:spPr>
              <a:noFill/>
              <a:ln>
                <a:noFill/>
              </a:ln>
              <a:effectLst/>
            </c:spPr>
            <c:txPr>
              <a:bodyPr wrap="square" lIns="38100" tIns="19050" rIns="38100" bIns="19050" anchor="ctr">
                <a:spAutoFit/>
              </a:bodyPr>
              <a:lstStyle/>
              <a:p>
                <a:pPr>
                  <a:defRPr b="1"/>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Sheet1!$A$2:$A$19</c:f>
              <c:numCache>
                <c:formatCode>General</c:formatCode>
                <c:ptCount val="18"/>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numCache>
            </c:numRef>
          </c:cat>
          <c:val>
            <c:numRef>
              <c:f>Sheet1!$M$2:$M$19</c:f>
              <c:numCache>
                <c:formatCode>General</c:formatCode>
                <c:ptCount val="18"/>
                <c:pt idx="15" formatCode="0.00">
                  <c:v>6.6</c:v>
                </c:pt>
                <c:pt idx="16" formatCode="0.00">
                  <c:v>7.1</c:v>
                </c:pt>
                <c:pt idx="17" formatCode="0.00">
                  <c:v>6.5</c:v>
                </c:pt>
              </c:numCache>
            </c:numRef>
          </c:val>
          <c:smooth val="1"/>
          <c:extLst>
            <c:ext xmlns:c16="http://schemas.microsoft.com/office/drawing/2014/chart" uri="{C3380CC4-5D6E-409C-BE32-E72D297353CC}">
              <c16:uniqueId val="{00000003-8550-4966-8E76-022A187AEBC8}"/>
            </c:ext>
          </c:extLst>
        </c:ser>
        <c:dLbls>
          <c:showLegendKey val="0"/>
          <c:showVal val="0"/>
          <c:showCatName val="0"/>
          <c:showSerName val="0"/>
          <c:showPercent val="0"/>
          <c:showBubbleSize val="0"/>
        </c:dLbls>
        <c:smooth val="0"/>
        <c:axId val="152779392"/>
        <c:axId val="152785280"/>
      </c:lineChart>
      <c:catAx>
        <c:axId val="15277939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152785280"/>
        <c:crosses val="autoZero"/>
        <c:auto val="1"/>
        <c:lblAlgn val="ctr"/>
        <c:lblOffset val="100"/>
        <c:noMultiLvlLbl val="0"/>
      </c:catAx>
      <c:valAx>
        <c:axId val="152785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lv-LV" sz="1000" b="1" i="0" baseline="0">
                    <a:solidFill>
                      <a:sysClr val="windowText" lastClr="000000"/>
                    </a:solidFill>
                    <a:effectLst/>
                  </a:rPr>
                  <a:t>Changes in construction costs</a:t>
                </a:r>
              </a:p>
              <a:p>
                <a:pPr>
                  <a:defRPr sz="1200" b="0" i="0" u="none" strike="noStrike" kern="1200" baseline="0">
                    <a:solidFill>
                      <a:sysClr val="windowText" lastClr="000000"/>
                    </a:solidFill>
                    <a:latin typeface="+mn-lt"/>
                    <a:ea typeface="+mn-ea"/>
                    <a:cs typeface="+mn-cs"/>
                  </a:defRPr>
                </a:pPr>
                <a:r>
                  <a:rPr lang="lv-LV" sz="1000" b="1" i="0" baseline="0">
                    <a:solidFill>
                      <a:sysClr val="windowText" lastClr="000000"/>
                    </a:solidFill>
                    <a:effectLst/>
                  </a:rPr>
                  <a:t>← as a percentage of the previous year →</a:t>
                </a:r>
                <a:endParaRPr lang="lv-LV" sz="1000">
                  <a:solidFill>
                    <a:sysClr val="windowText" lastClr="000000"/>
                  </a:solidFill>
                  <a:effectLst/>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152779392"/>
        <c:crosses val="autoZero"/>
        <c:crossBetween val="between"/>
      </c:valAx>
      <c:spPr>
        <a:noFill/>
        <a:ln>
          <a:noFill/>
        </a:ln>
        <a:effectLst/>
      </c:spPr>
    </c:plotArea>
    <c:legend>
      <c:legendPos val="r"/>
      <c:layout>
        <c:manualLayout>
          <c:xMode val="edge"/>
          <c:yMode val="edge"/>
          <c:x val="0.45197802220424371"/>
          <c:y val="0.77364571555259953"/>
          <c:w val="0.52011879592860444"/>
          <c:h val="0.1925664560470014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lv-LV" sz="1200"/>
              <a:t>Changes in construction costs due to changes in the volume of construction output</a:t>
            </a:r>
            <a:endParaRPr lang="en-US" sz="1200"/>
          </a:p>
        </c:rich>
      </c:tx>
      <c:overlay val="0"/>
    </c:title>
    <c:autoTitleDeleted val="0"/>
    <c:plotArea>
      <c:layout>
        <c:manualLayout>
          <c:layoutTarget val="inner"/>
          <c:xMode val="edge"/>
          <c:yMode val="edge"/>
          <c:x val="9.0243096563843134E-2"/>
          <c:y val="0.16526254809618118"/>
          <c:w val="0.88208648630620157"/>
          <c:h val="0.72352501434592498"/>
        </c:manualLayout>
      </c:layout>
      <c:scatterChart>
        <c:scatterStyle val="lineMarker"/>
        <c:varyColors val="0"/>
        <c:ser>
          <c:idx val="14"/>
          <c:order val="0"/>
          <c:tx>
            <c:strRef>
              <c:f>Sheet1!$A$16</c:f>
              <c:strCache>
                <c:ptCount val="1"/>
                <c:pt idx="0">
                  <c:v>2020</c:v>
                </c:pt>
              </c:strCache>
            </c:strRef>
          </c:tx>
          <c:spPr>
            <a:ln w="28575">
              <a:noFill/>
            </a:ln>
          </c:spPr>
          <c:marker>
            <c:spPr>
              <a:solidFill>
                <a:srgbClr val="FF0000"/>
              </a:solidFill>
            </c:spPr>
          </c:marker>
          <c:dLbls>
            <c:dLbl>
              <c:idx val="0"/>
              <c:layout>
                <c:manualLayout>
                  <c:x val="-2.824300501819127E-2"/>
                  <c:y val="7.5119017032659718E-2"/>
                </c:manualLayout>
              </c:layout>
              <c:spPr>
                <a:noFill/>
                <a:ln>
                  <a:noFill/>
                </a:ln>
                <a:effectLst/>
              </c:spPr>
              <c:txPr>
                <a:bodyPr wrap="square" lIns="38100" tIns="19050" rIns="38100" bIns="19050" anchor="ctr">
                  <a:spAutoFit/>
                </a:bodyPr>
                <a:lstStyle/>
                <a:p>
                  <a:pPr>
                    <a:defRPr>
                      <a:solidFill>
                        <a:srgbClr val="C00000"/>
                      </a:solidFill>
                    </a:defRPr>
                  </a:pPr>
                  <a:endParaRPr lang="lv-LV"/>
                </a:p>
              </c:txPr>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C5E6-49AC-9EED-B4D0A819FB4E}"/>
                </c:ext>
              </c:extLst>
            </c:dLbl>
            <c:spPr>
              <a:noFill/>
              <a:ln>
                <a:noFill/>
              </a:ln>
              <a:effectLst/>
            </c:spPr>
            <c:dLblPos val="t"/>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Sheet1!$B$16</c:f>
              <c:numCache>
                <c:formatCode>General</c:formatCode>
                <c:ptCount val="1"/>
                <c:pt idx="0">
                  <c:v>2.7</c:v>
                </c:pt>
              </c:numCache>
            </c:numRef>
          </c:xVal>
          <c:yVal>
            <c:numRef>
              <c:f>Sheet1!$J$16</c:f>
              <c:numCache>
                <c:formatCode>General</c:formatCode>
                <c:ptCount val="1"/>
                <c:pt idx="0">
                  <c:v>1.3</c:v>
                </c:pt>
              </c:numCache>
            </c:numRef>
          </c:yVal>
          <c:smooth val="0"/>
          <c:extLst>
            <c:ext xmlns:c16="http://schemas.microsoft.com/office/drawing/2014/chart" uri="{C3380CC4-5D6E-409C-BE32-E72D297353CC}">
              <c16:uniqueId val="{00000001-C5E6-49AC-9EED-B4D0A819FB4E}"/>
            </c:ext>
          </c:extLst>
        </c:ser>
        <c:ser>
          <c:idx val="0"/>
          <c:order val="1"/>
          <c:tx>
            <c:strRef>
              <c:f>Sheet1!$A$2</c:f>
              <c:strCache>
                <c:ptCount val="1"/>
                <c:pt idx="0">
                  <c:v>2006</c:v>
                </c:pt>
              </c:strCache>
            </c:strRef>
          </c:tx>
          <c:spPr>
            <a:ln w="28575">
              <a:noFill/>
            </a:ln>
          </c:spPr>
          <c:marker>
            <c:symbol val="circle"/>
            <c:size val="10"/>
            <c:spPr>
              <a:solidFill>
                <a:schemeClr val="tx1"/>
              </a:solidFill>
              <a:ln>
                <a:solidFill>
                  <a:schemeClr val="tx1"/>
                </a:solidFill>
              </a:ln>
            </c:spPr>
          </c:marker>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Sheet1!$B$2</c:f>
              <c:numCache>
                <c:formatCode>General</c:formatCode>
                <c:ptCount val="1"/>
                <c:pt idx="0">
                  <c:v>14</c:v>
                </c:pt>
              </c:numCache>
            </c:numRef>
          </c:xVal>
          <c:yVal>
            <c:numRef>
              <c:f>Sheet1!$J$2</c:f>
              <c:numCache>
                <c:formatCode>General</c:formatCode>
                <c:ptCount val="1"/>
                <c:pt idx="0">
                  <c:v>20.900000000000006</c:v>
                </c:pt>
              </c:numCache>
            </c:numRef>
          </c:yVal>
          <c:smooth val="0"/>
          <c:extLst>
            <c:ext xmlns:c16="http://schemas.microsoft.com/office/drawing/2014/chart" uri="{C3380CC4-5D6E-409C-BE32-E72D297353CC}">
              <c16:uniqueId val="{00000002-C5E6-49AC-9EED-B4D0A819FB4E}"/>
            </c:ext>
          </c:extLst>
        </c:ser>
        <c:ser>
          <c:idx val="1"/>
          <c:order val="2"/>
          <c:tx>
            <c:strRef>
              <c:f>Sheet1!$A$3</c:f>
              <c:strCache>
                <c:ptCount val="1"/>
                <c:pt idx="0">
                  <c:v>2007</c:v>
                </c:pt>
              </c:strCache>
            </c:strRef>
          </c:tx>
          <c:spPr>
            <a:ln w="28575">
              <a:noFill/>
            </a:ln>
          </c:spPr>
          <c:marker>
            <c:symbol val="circle"/>
            <c:size val="10"/>
            <c:spPr>
              <a:solidFill>
                <a:schemeClr val="tx1"/>
              </a:solidFill>
              <a:ln>
                <a:solidFill>
                  <a:schemeClr val="tx1"/>
                </a:solidFill>
              </a:ln>
            </c:spPr>
          </c:marker>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Sheet1!$B$3</c:f>
              <c:numCache>
                <c:formatCode>General</c:formatCode>
                <c:ptCount val="1"/>
                <c:pt idx="0">
                  <c:v>12.3</c:v>
                </c:pt>
              </c:numCache>
            </c:numRef>
          </c:xVal>
          <c:yVal>
            <c:numRef>
              <c:f>Sheet1!$J$3</c:f>
              <c:numCache>
                <c:formatCode>General</c:formatCode>
                <c:ptCount val="1"/>
                <c:pt idx="0">
                  <c:v>26.200000000000003</c:v>
                </c:pt>
              </c:numCache>
            </c:numRef>
          </c:yVal>
          <c:smooth val="0"/>
          <c:extLst>
            <c:ext xmlns:c16="http://schemas.microsoft.com/office/drawing/2014/chart" uri="{C3380CC4-5D6E-409C-BE32-E72D297353CC}">
              <c16:uniqueId val="{00000003-C5E6-49AC-9EED-B4D0A819FB4E}"/>
            </c:ext>
          </c:extLst>
        </c:ser>
        <c:ser>
          <c:idx val="2"/>
          <c:order val="3"/>
          <c:tx>
            <c:strRef>
              <c:f>Sheet1!$A$4</c:f>
              <c:strCache>
                <c:ptCount val="1"/>
                <c:pt idx="0">
                  <c:v>2008</c:v>
                </c:pt>
              </c:strCache>
            </c:strRef>
          </c:tx>
          <c:spPr>
            <a:ln w="28575">
              <a:noFill/>
            </a:ln>
          </c:spPr>
          <c:marker>
            <c:symbol val="circle"/>
            <c:size val="10"/>
            <c:spPr>
              <a:solidFill>
                <a:schemeClr val="tx1"/>
              </a:solidFill>
              <a:ln>
                <a:solidFill>
                  <a:schemeClr val="tx1"/>
                </a:solidFill>
              </a:ln>
            </c:spPr>
          </c:marker>
          <c:dLbls>
            <c:spPr>
              <a:noFill/>
              <a:ln>
                <a:noFill/>
              </a:ln>
              <a:effectLst/>
            </c:sp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Sheet1!$B$4</c:f>
              <c:numCache>
                <c:formatCode>General</c:formatCode>
                <c:ptCount val="1"/>
                <c:pt idx="0">
                  <c:v>-2.8</c:v>
                </c:pt>
              </c:numCache>
            </c:numRef>
          </c:xVal>
          <c:yVal>
            <c:numRef>
              <c:f>Sheet1!$J$4</c:f>
              <c:numCache>
                <c:formatCode>General</c:formatCode>
                <c:ptCount val="1"/>
                <c:pt idx="0">
                  <c:v>14.400000000000006</c:v>
                </c:pt>
              </c:numCache>
            </c:numRef>
          </c:yVal>
          <c:smooth val="0"/>
          <c:extLst>
            <c:ext xmlns:c16="http://schemas.microsoft.com/office/drawing/2014/chart" uri="{C3380CC4-5D6E-409C-BE32-E72D297353CC}">
              <c16:uniqueId val="{00000004-C5E6-49AC-9EED-B4D0A819FB4E}"/>
            </c:ext>
          </c:extLst>
        </c:ser>
        <c:ser>
          <c:idx val="3"/>
          <c:order val="4"/>
          <c:tx>
            <c:strRef>
              <c:f>Sheet1!$A$5</c:f>
              <c:strCache>
                <c:ptCount val="1"/>
                <c:pt idx="0">
                  <c:v>2009</c:v>
                </c:pt>
              </c:strCache>
            </c:strRef>
          </c:tx>
          <c:spPr>
            <a:ln w="28575">
              <a:noFill/>
            </a:ln>
          </c:spPr>
          <c:marker>
            <c:symbol val="circle"/>
            <c:size val="10"/>
            <c:spPr>
              <a:solidFill>
                <a:schemeClr val="tx1"/>
              </a:solidFill>
              <a:ln>
                <a:solidFill>
                  <a:schemeClr val="tx1"/>
                </a:solidFill>
              </a:ln>
            </c:spPr>
          </c:marker>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Sheet1!$B$5</c:f>
              <c:numCache>
                <c:formatCode>General</c:formatCode>
                <c:ptCount val="1"/>
                <c:pt idx="0">
                  <c:v>-44.4</c:v>
                </c:pt>
              </c:numCache>
            </c:numRef>
          </c:xVal>
          <c:yVal>
            <c:numRef>
              <c:f>Sheet1!$J$5</c:f>
              <c:numCache>
                <c:formatCode>General</c:formatCode>
                <c:ptCount val="1"/>
                <c:pt idx="0">
                  <c:v>-10.900000000000006</c:v>
                </c:pt>
              </c:numCache>
            </c:numRef>
          </c:yVal>
          <c:smooth val="0"/>
          <c:extLst>
            <c:ext xmlns:c16="http://schemas.microsoft.com/office/drawing/2014/chart" uri="{C3380CC4-5D6E-409C-BE32-E72D297353CC}">
              <c16:uniqueId val="{00000005-C5E6-49AC-9EED-B4D0A819FB4E}"/>
            </c:ext>
          </c:extLst>
        </c:ser>
        <c:ser>
          <c:idx val="4"/>
          <c:order val="5"/>
          <c:tx>
            <c:strRef>
              <c:f>Sheet1!$A$6</c:f>
              <c:strCache>
                <c:ptCount val="1"/>
                <c:pt idx="0">
                  <c:v>2010</c:v>
                </c:pt>
              </c:strCache>
            </c:strRef>
          </c:tx>
          <c:spPr>
            <a:ln w="28575">
              <a:noFill/>
            </a:ln>
          </c:spPr>
          <c:marker>
            <c:symbol val="circle"/>
            <c:size val="10"/>
            <c:spPr>
              <a:solidFill>
                <a:schemeClr val="tx1"/>
              </a:solidFill>
              <a:ln>
                <a:solidFill>
                  <a:schemeClr val="tx1"/>
                </a:solidFill>
              </a:ln>
            </c:spPr>
          </c:marker>
          <c:dLbls>
            <c:spPr>
              <a:noFill/>
              <a:ln>
                <a:noFill/>
              </a:ln>
              <a:effectLst/>
            </c:spPr>
            <c:dLblPos val="b"/>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Sheet1!$B$6</c:f>
              <c:numCache>
                <c:formatCode>General</c:formatCode>
                <c:ptCount val="1"/>
                <c:pt idx="0">
                  <c:v>-15.7</c:v>
                </c:pt>
              </c:numCache>
            </c:numRef>
          </c:xVal>
          <c:yVal>
            <c:numRef>
              <c:f>Sheet1!$J$6</c:f>
              <c:numCache>
                <c:formatCode>General</c:formatCode>
                <c:ptCount val="1"/>
                <c:pt idx="0">
                  <c:v>-2.7000000000000028</c:v>
                </c:pt>
              </c:numCache>
            </c:numRef>
          </c:yVal>
          <c:smooth val="0"/>
          <c:extLst>
            <c:ext xmlns:c16="http://schemas.microsoft.com/office/drawing/2014/chart" uri="{C3380CC4-5D6E-409C-BE32-E72D297353CC}">
              <c16:uniqueId val="{00000006-C5E6-49AC-9EED-B4D0A819FB4E}"/>
            </c:ext>
          </c:extLst>
        </c:ser>
        <c:ser>
          <c:idx val="5"/>
          <c:order val="6"/>
          <c:tx>
            <c:strRef>
              <c:f>Sheet1!$A$7</c:f>
              <c:strCache>
                <c:ptCount val="1"/>
                <c:pt idx="0">
                  <c:v>2011</c:v>
                </c:pt>
              </c:strCache>
            </c:strRef>
          </c:tx>
          <c:spPr>
            <a:ln w="28575">
              <a:noFill/>
            </a:ln>
          </c:spPr>
          <c:marker>
            <c:symbol val="circle"/>
            <c:size val="10"/>
            <c:spPr>
              <a:solidFill>
                <a:schemeClr val="tx1"/>
              </a:solidFill>
              <a:ln>
                <a:solidFill>
                  <a:schemeClr val="tx1"/>
                </a:solidFill>
              </a:ln>
            </c:spPr>
          </c:marker>
          <c:dLbls>
            <c:spPr>
              <a:noFill/>
              <a:ln>
                <a:noFill/>
              </a:ln>
              <a:effectLst/>
            </c:sp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Sheet1!$B$7</c:f>
              <c:numCache>
                <c:formatCode>General</c:formatCode>
                <c:ptCount val="1"/>
                <c:pt idx="0">
                  <c:v>12.2</c:v>
                </c:pt>
              </c:numCache>
            </c:numRef>
          </c:xVal>
          <c:yVal>
            <c:numRef>
              <c:f>Sheet1!$J$7</c:f>
              <c:numCache>
                <c:formatCode>General</c:formatCode>
                <c:ptCount val="1"/>
                <c:pt idx="0">
                  <c:v>2.0999999999999943</c:v>
                </c:pt>
              </c:numCache>
            </c:numRef>
          </c:yVal>
          <c:smooth val="0"/>
          <c:extLst>
            <c:ext xmlns:c16="http://schemas.microsoft.com/office/drawing/2014/chart" uri="{C3380CC4-5D6E-409C-BE32-E72D297353CC}">
              <c16:uniqueId val="{00000007-C5E6-49AC-9EED-B4D0A819FB4E}"/>
            </c:ext>
          </c:extLst>
        </c:ser>
        <c:ser>
          <c:idx val="6"/>
          <c:order val="7"/>
          <c:tx>
            <c:strRef>
              <c:f>Sheet1!$A$8</c:f>
              <c:strCache>
                <c:ptCount val="1"/>
                <c:pt idx="0">
                  <c:v>2012</c:v>
                </c:pt>
              </c:strCache>
            </c:strRef>
          </c:tx>
          <c:spPr>
            <a:ln w="28575">
              <a:noFill/>
            </a:ln>
          </c:spPr>
          <c:marker>
            <c:symbol val="circle"/>
            <c:size val="10"/>
            <c:spPr>
              <a:solidFill>
                <a:schemeClr val="tx1"/>
              </a:solidFill>
              <a:ln>
                <a:solidFill>
                  <a:schemeClr val="tx1"/>
                </a:solidFill>
              </a:ln>
            </c:spPr>
          </c:marker>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Sheet1!$B$8</c:f>
              <c:numCache>
                <c:formatCode>General</c:formatCode>
                <c:ptCount val="1"/>
                <c:pt idx="0">
                  <c:v>14.8</c:v>
                </c:pt>
              </c:numCache>
            </c:numRef>
          </c:xVal>
          <c:yVal>
            <c:numRef>
              <c:f>Sheet1!$J$8</c:f>
              <c:numCache>
                <c:formatCode>General</c:formatCode>
                <c:ptCount val="1"/>
                <c:pt idx="0">
                  <c:v>6.7999999999999972</c:v>
                </c:pt>
              </c:numCache>
            </c:numRef>
          </c:yVal>
          <c:smooth val="0"/>
          <c:extLst>
            <c:ext xmlns:c16="http://schemas.microsoft.com/office/drawing/2014/chart" uri="{C3380CC4-5D6E-409C-BE32-E72D297353CC}">
              <c16:uniqueId val="{00000008-C5E6-49AC-9EED-B4D0A819FB4E}"/>
            </c:ext>
          </c:extLst>
        </c:ser>
        <c:ser>
          <c:idx val="7"/>
          <c:order val="8"/>
          <c:tx>
            <c:strRef>
              <c:f>Sheet1!$A$9</c:f>
              <c:strCache>
                <c:ptCount val="1"/>
                <c:pt idx="0">
                  <c:v>2013</c:v>
                </c:pt>
              </c:strCache>
            </c:strRef>
          </c:tx>
          <c:spPr>
            <a:ln w="28575">
              <a:noFill/>
            </a:ln>
          </c:spPr>
          <c:marker>
            <c:symbol val="circle"/>
            <c:size val="10"/>
            <c:spPr>
              <a:solidFill>
                <a:schemeClr val="tx1">
                  <a:alpha val="94000"/>
                </a:schemeClr>
              </a:solidFill>
              <a:ln>
                <a:solidFill>
                  <a:schemeClr val="tx1"/>
                </a:solidFill>
              </a:ln>
            </c:spPr>
          </c:marker>
          <c:dLbls>
            <c:dLbl>
              <c:idx val="0"/>
              <c:layout>
                <c:manualLayout>
                  <c:x val="-3.9481949881461753E-2"/>
                  <c:y val="-8.8577871806198125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9-C5E6-49AC-9EED-B4D0A819FB4E}"/>
                </c:ext>
              </c:extLst>
            </c:dLbl>
            <c:spPr>
              <a:noFill/>
              <a:ln>
                <a:noFill/>
              </a:ln>
              <a:effectLst/>
            </c:spPr>
            <c:dLblPos val="l"/>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Sheet1!$B$9</c:f>
              <c:numCache>
                <c:formatCode>General</c:formatCode>
                <c:ptCount val="1"/>
                <c:pt idx="0">
                  <c:v>7.3</c:v>
                </c:pt>
              </c:numCache>
            </c:numRef>
          </c:xVal>
          <c:yVal>
            <c:numRef>
              <c:f>Sheet1!$J$9</c:f>
              <c:numCache>
                <c:formatCode>General</c:formatCode>
                <c:ptCount val="1"/>
                <c:pt idx="0">
                  <c:v>2.5</c:v>
                </c:pt>
              </c:numCache>
            </c:numRef>
          </c:yVal>
          <c:smooth val="0"/>
          <c:extLst>
            <c:ext xmlns:c16="http://schemas.microsoft.com/office/drawing/2014/chart" uri="{C3380CC4-5D6E-409C-BE32-E72D297353CC}">
              <c16:uniqueId val="{0000000A-C5E6-49AC-9EED-B4D0A819FB4E}"/>
            </c:ext>
          </c:extLst>
        </c:ser>
        <c:ser>
          <c:idx val="8"/>
          <c:order val="9"/>
          <c:tx>
            <c:strRef>
              <c:f>Sheet1!$A$10</c:f>
              <c:strCache>
                <c:ptCount val="1"/>
                <c:pt idx="0">
                  <c:v>2014</c:v>
                </c:pt>
              </c:strCache>
            </c:strRef>
          </c:tx>
          <c:spPr>
            <a:ln w="28575">
              <a:noFill/>
            </a:ln>
          </c:spPr>
          <c:marker>
            <c:symbol val="circle"/>
            <c:size val="10"/>
            <c:spPr>
              <a:solidFill>
                <a:schemeClr val="tx1"/>
              </a:solidFill>
              <a:ln>
                <a:solidFill>
                  <a:schemeClr val="tx1"/>
                </a:solidFill>
              </a:ln>
            </c:spPr>
          </c:marker>
          <c:dLbls>
            <c:dLbl>
              <c:idx val="0"/>
              <c:layout>
                <c:manualLayout>
                  <c:x val="-2.8802481444555224E-2"/>
                  <c:y val="8.9251439539347402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4-C5E6-49AC-9EED-B4D0A819FB4E}"/>
                </c:ext>
              </c:extLst>
            </c:dLbl>
            <c:spPr>
              <a:solidFill>
                <a:schemeClr val="bg1"/>
              </a:solidFill>
              <a:ln>
                <a:noFill/>
              </a:ln>
              <a:effectLst/>
            </c:spPr>
            <c:dLblPos val="b"/>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Sheet1!$B$10</c:f>
              <c:numCache>
                <c:formatCode>General</c:formatCode>
                <c:ptCount val="1"/>
                <c:pt idx="0">
                  <c:v>10.6</c:v>
                </c:pt>
              </c:numCache>
            </c:numRef>
          </c:xVal>
          <c:yVal>
            <c:numRef>
              <c:f>Sheet1!$J$10</c:f>
              <c:numCache>
                <c:formatCode>General</c:formatCode>
                <c:ptCount val="1"/>
                <c:pt idx="0">
                  <c:v>0.40000000000000568</c:v>
                </c:pt>
              </c:numCache>
            </c:numRef>
          </c:yVal>
          <c:smooth val="0"/>
          <c:extLst>
            <c:ext xmlns:c16="http://schemas.microsoft.com/office/drawing/2014/chart" uri="{C3380CC4-5D6E-409C-BE32-E72D297353CC}">
              <c16:uniqueId val="{0000000B-C5E6-49AC-9EED-B4D0A819FB4E}"/>
            </c:ext>
          </c:extLst>
        </c:ser>
        <c:ser>
          <c:idx val="9"/>
          <c:order val="10"/>
          <c:tx>
            <c:strRef>
              <c:f>Sheet1!$A$11</c:f>
              <c:strCache>
                <c:ptCount val="1"/>
                <c:pt idx="0">
                  <c:v>2015</c:v>
                </c:pt>
              </c:strCache>
            </c:strRef>
          </c:tx>
          <c:spPr>
            <a:ln w="28575">
              <a:noFill/>
            </a:ln>
          </c:spPr>
          <c:marker>
            <c:symbol val="circle"/>
            <c:size val="10"/>
            <c:spPr>
              <a:solidFill>
                <a:schemeClr val="tx1"/>
              </a:solidFill>
              <a:ln>
                <a:solidFill>
                  <a:schemeClr val="tx1"/>
                </a:solidFill>
              </a:ln>
            </c:spPr>
          </c:marker>
          <c:dLbls>
            <c:dLbl>
              <c:idx val="0"/>
              <c:layout>
                <c:manualLayout>
                  <c:x val="-8.7461424690418718E-2"/>
                  <c:y val="-7.0870563679714407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C-C5E6-49AC-9EED-B4D0A819FB4E}"/>
                </c:ext>
              </c:extLst>
            </c:dLbl>
            <c:spPr>
              <a:solidFill>
                <a:schemeClr val="bg1"/>
              </a:solidFill>
              <a:ln>
                <a:noFill/>
              </a:ln>
              <a:effectLst/>
            </c:spPr>
            <c:dLblPos val="t"/>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Sheet1!$B$11</c:f>
              <c:numCache>
                <c:formatCode>General</c:formatCode>
                <c:ptCount val="1"/>
                <c:pt idx="0">
                  <c:v>-0.6</c:v>
                </c:pt>
              </c:numCache>
            </c:numRef>
          </c:xVal>
          <c:yVal>
            <c:numRef>
              <c:f>Sheet1!$J$11</c:f>
              <c:numCache>
                <c:formatCode>General</c:formatCode>
                <c:ptCount val="1"/>
                <c:pt idx="0">
                  <c:v>9.9999999999994316E-2</c:v>
                </c:pt>
              </c:numCache>
            </c:numRef>
          </c:yVal>
          <c:smooth val="0"/>
          <c:extLst>
            <c:ext xmlns:c16="http://schemas.microsoft.com/office/drawing/2014/chart" uri="{C3380CC4-5D6E-409C-BE32-E72D297353CC}">
              <c16:uniqueId val="{0000000D-C5E6-49AC-9EED-B4D0A819FB4E}"/>
            </c:ext>
          </c:extLst>
        </c:ser>
        <c:ser>
          <c:idx val="10"/>
          <c:order val="11"/>
          <c:tx>
            <c:strRef>
              <c:f>Sheet1!$A$12</c:f>
              <c:strCache>
                <c:ptCount val="1"/>
                <c:pt idx="0">
                  <c:v>2016</c:v>
                </c:pt>
              </c:strCache>
            </c:strRef>
          </c:tx>
          <c:spPr>
            <a:ln w="28575">
              <a:noFill/>
            </a:ln>
          </c:spPr>
          <c:marker>
            <c:symbol val="circle"/>
            <c:size val="10"/>
            <c:spPr>
              <a:solidFill>
                <a:schemeClr val="tx1"/>
              </a:solidFill>
              <a:ln>
                <a:solidFill>
                  <a:schemeClr val="tx1"/>
                </a:solidFill>
              </a:ln>
            </c:spPr>
          </c:marker>
          <c:dLbls>
            <c:spPr>
              <a:noFill/>
              <a:ln>
                <a:noFill/>
              </a:ln>
              <a:effectLst/>
            </c:sp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Sheet1!$B$12</c:f>
              <c:numCache>
                <c:formatCode>General</c:formatCode>
                <c:ptCount val="1"/>
                <c:pt idx="0">
                  <c:v>-16.600000000000001</c:v>
                </c:pt>
              </c:numCache>
            </c:numRef>
          </c:xVal>
          <c:yVal>
            <c:numRef>
              <c:f>Sheet1!$J$12</c:f>
              <c:numCache>
                <c:formatCode>General</c:formatCode>
                <c:ptCount val="1"/>
                <c:pt idx="0">
                  <c:v>-0.5</c:v>
                </c:pt>
              </c:numCache>
            </c:numRef>
          </c:yVal>
          <c:smooth val="0"/>
          <c:extLst>
            <c:ext xmlns:c16="http://schemas.microsoft.com/office/drawing/2014/chart" uri="{C3380CC4-5D6E-409C-BE32-E72D297353CC}">
              <c16:uniqueId val="{0000000E-C5E6-49AC-9EED-B4D0A819FB4E}"/>
            </c:ext>
          </c:extLst>
        </c:ser>
        <c:ser>
          <c:idx val="11"/>
          <c:order val="12"/>
          <c:tx>
            <c:strRef>
              <c:f>Sheet1!$A$13</c:f>
              <c:strCache>
                <c:ptCount val="1"/>
                <c:pt idx="0">
                  <c:v>2017</c:v>
                </c:pt>
              </c:strCache>
            </c:strRef>
          </c:tx>
          <c:spPr>
            <a:ln w="28575">
              <a:noFill/>
            </a:ln>
          </c:spPr>
          <c:marker>
            <c:symbol val="circle"/>
            <c:size val="10"/>
            <c:spPr>
              <a:solidFill>
                <a:schemeClr val="tx1"/>
              </a:solidFill>
              <a:ln>
                <a:solidFill>
                  <a:schemeClr val="tx1"/>
                </a:solidFill>
              </a:ln>
            </c:spPr>
          </c:marker>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Sheet1!$B$13</c:f>
              <c:numCache>
                <c:formatCode>General</c:formatCode>
                <c:ptCount val="1"/>
                <c:pt idx="0">
                  <c:v>18.600000000000001</c:v>
                </c:pt>
              </c:numCache>
            </c:numRef>
          </c:xVal>
          <c:yVal>
            <c:numRef>
              <c:f>Sheet1!$J$13</c:f>
              <c:numCache>
                <c:formatCode>General</c:formatCode>
                <c:ptCount val="1"/>
                <c:pt idx="0">
                  <c:v>1.9000000000000057</c:v>
                </c:pt>
              </c:numCache>
            </c:numRef>
          </c:yVal>
          <c:smooth val="0"/>
          <c:extLst>
            <c:ext xmlns:c16="http://schemas.microsoft.com/office/drawing/2014/chart" uri="{C3380CC4-5D6E-409C-BE32-E72D297353CC}">
              <c16:uniqueId val="{0000000F-C5E6-49AC-9EED-B4D0A819FB4E}"/>
            </c:ext>
          </c:extLst>
        </c:ser>
        <c:ser>
          <c:idx val="12"/>
          <c:order val="13"/>
          <c:tx>
            <c:strRef>
              <c:f>Sheet1!$A$14</c:f>
              <c:strCache>
                <c:ptCount val="1"/>
                <c:pt idx="0">
                  <c:v>2018</c:v>
                </c:pt>
              </c:strCache>
            </c:strRef>
          </c:tx>
          <c:spPr>
            <a:ln w="28575">
              <a:noFill/>
            </a:ln>
          </c:spPr>
          <c:marker>
            <c:symbol val="circle"/>
            <c:size val="10"/>
            <c:spPr>
              <a:solidFill>
                <a:schemeClr val="tx1"/>
              </a:solidFill>
              <a:ln>
                <a:noFill/>
              </a:ln>
            </c:spPr>
          </c:marker>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Sheet1!$B$14</c:f>
              <c:numCache>
                <c:formatCode>General</c:formatCode>
                <c:ptCount val="1"/>
                <c:pt idx="0">
                  <c:v>21.9</c:v>
                </c:pt>
              </c:numCache>
            </c:numRef>
          </c:xVal>
          <c:yVal>
            <c:numRef>
              <c:f>Sheet1!$J$14</c:f>
              <c:numCache>
                <c:formatCode>General</c:formatCode>
                <c:ptCount val="1"/>
                <c:pt idx="0">
                  <c:v>4.4000000000000004</c:v>
                </c:pt>
              </c:numCache>
            </c:numRef>
          </c:yVal>
          <c:smooth val="0"/>
          <c:extLst>
            <c:ext xmlns:c16="http://schemas.microsoft.com/office/drawing/2014/chart" uri="{C3380CC4-5D6E-409C-BE32-E72D297353CC}">
              <c16:uniqueId val="{00000010-C5E6-49AC-9EED-B4D0A819FB4E}"/>
            </c:ext>
          </c:extLst>
        </c:ser>
        <c:ser>
          <c:idx val="13"/>
          <c:order val="14"/>
          <c:tx>
            <c:strRef>
              <c:f>Sheet1!$A$15</c:f>
              <c:strCache>
                <c:ptCount val="1"/>
                <c:pt idx="0">
                  <c:v>2019</c:v>
                </c:pt>
              </c:strCache>
            </c:strRef>
          </c:tx>
          <c:spPr>
            <a:ln w="28575">
              <a:noFill/>
            </a:ln>
          </c:spPr>
          <c:marker>
            <c:symbol val="circle"/>
            <c:size val="10"/>
            <c:spPr>
              <a:solidFill>
                <a:schemeClr val="tx1"/>
              </a:solidFill>
            </c:spPr>
          </c:marker>
          <c:dLbls>
            <c:dLbl>
              <c:idx val="0"/>
              <c:layout>
                <c:manualLayout>
                  <c:x val="-3.5511490635863688E-2"/>
                  <c:y val="-9.3835197110950952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1-C5E6-49AC-9EED-B4D0A819FB4E}"/>
                </c:ext>
              </c:extLst>
            </c:dLbl>
            <c:spPr>
              <a:noFill/>
              <a:ln>
                <a:noFill/>
              </a:ln>
              <a:effectLst/>
            </c:spPr>
            <c:dLblPos val="t"/>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Sheet1!$B$15</c:f>
              <c:numCache>
                <c:formatCode>General</c:formatCode>
                <c:ptCount val="1"/>
                <c:pt idx="0">
                  <c:v>2.9</c:v>
                </c:pt>
              </c:numCache>
            </c:numRef>
          </c:xVal>
          <c:yVal>
            <c:numRef>
              <c:f>Sheet1!$J$15</c:f>
              <c:numCache>
                <c:formatCode>General</c:formatCode>
                <c:ptCount val="1"/>
                <c:pt idx="0">
                  <c:v>4.0999999999999996</c:v>
                </c:pt>
              </c:numCache>
            </c:numRef>
          </c:yVal>
          <c:smooth val="0"/>
          <c:extLst>
            <c:ext xmlns:c16="http://schemas.microsoft.com/office/drawing/2014/chart" uri="{C3380CC4-5D6E-409C-BE32-E72D297353CC}">
              <c16:uniqueId val="{00000012-C5E6-49AC-9EED-B4D0A819FB4E}"/>
            </c:ext>
          </c:extLst>
        </c:ser>
        <c:dLbls>
          <c:showLegendKey val="0"/>
          <c:showVal val="0"/>
          <c:showCatName val="0"/>
          <c:showSerName val="0"/>
          <c:showPercent val="0"/>
          <c:showBubbleSize val="0"/>
        </c:dLbls>
        <c:axId val="152341504"/>
        <c:axId val="152364160"/>
      </c:scatterChart>
      <c:valAx>
        <c:axId val="152341504"/>
        <c:scaling>
          <c:orientation val="minMax"/>
          <c:max val="50"/>
          <c:min val="-50"/>
        </c:scaling>
        <c:delete val="0"/>
        <c:axPos val="b"/>
        <c:title>
          <c:tx>
            <c:rich>
              <a:bodyPr/>
              <a:lstStyle/>
              <a:p>
                <a:pPr>
                  <a:defRPr/>
                </a:pPr>
                <a:r>
                  <a:rPr lang="en-US"/>
                  <a:t>Increase in the volume of construction output</a:t>
                </a:r>
              </a:p>
              <a:p>
                <a:pPr>
                  <a:defRPr/>
                </a:pPr>
                <a:r>
                  <a:rPr lang="en-US"/>
                  <a:t>← as a percentage of the previous year →</a:t>
                </a:r>
              </a:p>
            </c:rich>
          </c:tx>
          <c:layout>
            <c:manualLayout>
              <c:xMode val="edge"/>
              <c:yMode val="edge"/>
              <c:x val="0.61451282459413048"/>
              <c:y val="0.80251890960482763"/>
            </c:manualLayout>
          </c:layout>
          <c:overlay val="0"/>
        </c:title>
        <c:numFmt formatCode="General" sourceLinked="1"/>
        <c:majorTickMark val="out"/>
        <c:minorTickMark val="none"/>
        <c:tickLblPos val="nextTo"/>
        <c:txPr>
          <a:bodyPr/>
          <a:lstStyle/>
          <a:p>
            <a:pPr>
              <a:defRPr>
                <a:solidFill>
                  <a:schemeClr val="bg1">
                    <a:lumMod val="50000"/>
                  </a:schemeClr>
                </a:solidFill>
              </a:defRPr>
            </a:pPr>
            <a:endParaRPr lang="lv-LV"/>
          </a:p>
        </c:txPr>
        <c:crossAx val="152364160"/>
        <c:crosses val="autoZero"/>
        <c:crossBetween val="midCat"/>
      </c:valAx>
      <c:valAx>
        <c:axId val="152364160"/>
        <c:scaling>
          <c:orientation val="minMax"/>
          <c:min val="-30"/>
        </c:scaling>
        <c:delete val="0"/>
        <c:axPos val="l"/>
        <c:title>
          <c:tx>
            <c:rich>
              <a:bodyPr/>
              <a:lstStyle/>
              <a:p>
                <a:pPr>
                  <a:defRPr/>
                </a:pPr>
                <a:r>
                  <a:rPr lang="lv-LV"/>
                  <a:t>Changes in construction costs</a:t>
                </a:r>
              </a:p>
              <a:p>
                <a:pPr>
                  <a:defRPr/>
                </a:pPr>
                <a:r>
                  <a:rPr lang="lv-LV"/>
                  <a:t>← as a percentage of the previous year →</a:t>
                </a:r>
              </a:p>
            </c:rich>
          </c:tx>
          <c:layout>
            <c:manualLayout>
              <c:xMode val="edge"/>
              <c:yMode val="edge"/>
              <c:x val="1.0331207391395893E-2"/>
              <c:y val="0.26679704340574195"/>
            </c:manualLayout>
          </c:layout>
          <c:overlay val="0"/>
        </c:title>
        <c:numFmt formatCode="General" sourceLinked="1"/>
        <c:majorTickMark val="out"/>
        <c:minorTickMark val="none"/>
        <c:tickLblPos val="nextTo"/>
        <c:spPr>
          <a:ln>
            <a:solidFill>
              <a:schemeClr val="bg1">
                <a:lumMod val="50000"/>
              </a:schemeClr>
            </a:solidFill>
          </a:ln>
        </c:spPr>
        <c:txPr>
          <a:bodyPr/>
          <a:lstStyle/>
          <a:p>
            <a:pPr>
              <a:defRPr>
                <a:solidFill>
                  <a:schemeClr val="bg1">
                    <a:lumMod val="50000"/>
                  </a:schemeClr>
                </a:solidFill>
              </a:defRPr>
            </a:pPr>
            <a:endParaRPr lang="lv-LV"/>
          </a:p>
        </c:txPr>
        <c:crossAx val="152341504"/>
        <c:crosses val="autoZero"/>
        <c:crossBetween val="midCat"/>
      </c:valAx>
    </c:plotArea>
    <c:plotVisOnly val="1"/>
    <c:dispBlanksAs val="gap"/>
    <c:showDLblsOverMax val="0"/>
  </c:chart>
  <c:spPr>
    <a:ln>
      <a:solidFill>
        <a:schemeClr val="bg1">
          <a:lumMod val="85000"/>
        </a:schemeClr>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lv-LV" sz="1100">
                <a:latin typeface="Arial" panose="020B0604020202020204" pitchFamily="34" charset="0"/>
                <a:cs typeface="Arial" panose="020B0604020202020204" pitchFamily="34" charset="0"/>
              </a:rPr>
              <a:t>Total percentage change forecasts of resource types compared to the previous year 2021-2025</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title>
    <c:autoTitleDeleted val="0"/>
    <c:plotArea>
      <c:layout/>
      <c:lineChart>
        <c:grouping val="standard"/>
        <c:varyColors val="0"/>
        <c:ser>
          <c:idx val="0"/>
          <c:order val="0"/>
          <c:tx>
            <c:strRef>
              <c:f>'Q04'!$C$6</c:f>
              <c:strCache>
                <c:ptCount val="1"/>
                <c:pt idx="0">
                  <c:v>Changes in construction material costs</c:v>
                </c:pt>
              </c:strCache>
            </c:strRef>
          </c:tx>
          <c:spPr>
            <a:ln w="28575" cap="rnd">
              <a:solidFill>
                <a:schemeClr val="accent1"/>
              </a:solidFill>
              <a:round/>
            </a:ln>
            <a:effectLst/>
          </c:spPr>
          <c:marker>
            <c:symbol val="none"/>
          </c:marker>
          <c:cat>
            <c:strRef>
              <c:f>'Q04'!$B$9:$B$13</c:f>
              <c:strCache>
                <c:ptCount val="5"/>
                <c:pt idx="0">
                  <c:v>2021.</c:v>
                </c:pt>
                <c:pt idx="1">
                  <c:v>2022.</c:v>
                </c:pt>
                <c:pt idx="2">
                  <c:v>2023.</c:v>
                </c:pt>
                <c:pt idx="3">
                  <c:v>2024.</c:v>
                </c:pt>
                <c:pt idx="4">
                  <c:v>2025.</c:v>
                </c:pt>
              </c:strCache>
            </c:strRef>
          </c:cat>
          <c:val>
            <c:numRef>
              <c:f>'Q04'!$D$46:$D$50</c:f>
              <c:numCache>
                <c:formatCode>0.00</c:formatCode>
                <c:ptCount val="5"/>
                <c:pt idx="0">
                  <c:v>12.619047619047619</c:v>
                </c:pt>
                <c:pt idx="1">
                  <c:v>7.3095238095238093</c:v>
                </c:pt>
                <c:pt idx="2">
                  <c:v>5.4047619047619051</c:v>
                </c:pt>
                <c:pt idx="3">
                  <c:v>3.6749999999999998</c:v>
                </c:pt>
                <c:pt idx="4">
                  <c:v>3.0750000000000002</c:v>
                </c:pt>
              </c:numCache>
            </c:numRef>
          </c:val>
          <c:smooth val="0"/>
          <c:extLst>
            <c:ext xmlns:c16="http://schemas.microsoft.com/office/drawing/2014/chart" uri="{C3380CC4-5D6E-409C-BE32-E72D297353CC}">
              <c16:uniqueId val="{00000000-6660-4C9E-91D3-8AE7AEDCE144}"/>
            </c:ext>
          </c:extLst>
        </c:ser>
        <c:ser>
          <c:idx val="1"/>
          <c:order val="1"/>
          <c:tx>
            <c:strRef>
              <c:f>'Q04'!$G$6</c:f>
              <c:strCache>
                <c:ptCount val="1"/>
                <c:pt idx="0">
                  <c:v>Changes in workers' wage costs</c:v>
                </c:pt>
              </c:strCache>
            </c:strRef>
          </c:tx>
          <c:spPr>
            <a:ln w="28575" cap="rnd">
              <a:solidFill>
                <a:schemeClr val="accent2"/>
              </a:solidFill>
              <a:round/>
            </a:ln>
            <a:effectLst/>
          </c:spPr>
          <c:marker>
            <c:symbol val="none"/>
          </c:marker>
          <c:cat>
            <c:strRef>
              <c:f>'Q04'!$B$9:$B$13</c:f>
              <c:strCache>
                <c:ptCount val="5"/>
                <c:pt idx="0">
                  <c:v>2021.</c:v>
                </c:pt>
                <c:pt idx="1">
                  <c:v>2022.</c:v>
                </c:pt>
                <c:pt idx="2">
                  <c:v>2023.</c:v>
                </c:pt>
                <c:pt idx="3">
                  <c:v>2024.</c:v>
                </c:pt>
                <c:pt idx="4">
                  <c:v>2025.</c:v>
                </c:pt>
              </c:strCache>
            </c:strRef>
          </c:cat>
          <c:val>
            <c:numRef>
              <c:f>'Q04'!$H$46:$H$50</c:f>
              <c:numCache>
                <c:formatCode>0.00</c:formatCode>
                <c:ptCount val="5"/>
                <c:pt idx="0">
                  <c:v>7.1190476190476186</c:v>
                </c:pt>
                <c:pt idx="1">
                  <c:v>7.666666666666667</c:v>
                </c:pt>
                <c:pt idx="2">
                  <c:v>6.5476190476190474</c:v>
                </c:pt>
                <c:pt idx="3">
                  <c:v>5.5</c:v>
                </c:pt>
                <c:pt idx="4">
                  <c:v>5.05</c:v>
                </c:pt>
              </c:numCache>
            </c:numRef>
          </c:val>
          <c:smooth val="0"/>
          <c:extLst>
            <c:ext xmlns:c16="http://schemas.microsoft.com/office/drawing/2014/chart" uri="{C3380CC4-5D6E-409C-BE32-E72D297353CC}">
              <c16:uniqueId val="{00000001-6660-4C9E-91D3-8AE7AEDCE144}"/>
            </c:ext>
          </c:extLst>
        </c:ser>
        <c:ser>
          <c:idx val="2"/>
          <c:order val="2"/>
          <c:tx>
            <c:strRef>
              <c:f>'Q04'!$C$14</c:f>
              <c:strCache>
                <c:ptCount val="1"/>
                <c:pt idx="0">
                  <c:v>Changes in maintenance and operating costs of machinery and equipment</c:v>
                </c:pt>
              </c:strCache>
            </c:strRef>
          </c:tx>
          <c:spPr>
            <a:ln w="28575" cap="rnd">
              <a:solidFill>
                <a:schemeClr val="accent3"/>
              </a:solidFill>
              <a:round/>
            </a:ln>
            <a:effectLst/>
          </c:spPr>
          <c:marker>
            <c:symbol val="none"/>
          </c:marker>
          <c:val>
            <c:numRef>
              <c:f>'Q04'!$D$54:$D$58</c:f>
              <c:numCache>
                <c:formatCode>0.00</c:formatCode>
                <c:ptCount val="5"/>
                <c:pt idx="0">
                  <c:v>3.5714285714285716</c:v>
                </c:pt>
                <c:pt idx="1">
                  <c:v>3.5857142857142854</c:v>
                </c:pt>
                <c:pt idx="2">
                  <c:v>3.1428571428571428</c:v>
                </c:pt>
                <c:pt idx="3">
                  <c:v>3.6</c:v>
                </c:pt>
                <c:pt idx="4">
                  <c:v>2.9750000000000001</c:v>
                </c:pt>
              </c:numCache>
            </c:numRef>
          </c:val>
          <c:smooth val="0"/>
          <c:extLst>
            <c:ext xmlns:c16="http://schemas.microsoft.com/office/drawing/2014/chart" uri="{C3380CC4-5D6E-409C-BE32-E72D297353CC}">
              <c16:uniqueId val="{00000002-6660-4C9E-91D3-8AE7AEDCE144}"/>
            </c:ext>
          </c:extLst>
        </c:ser>
        <c:ser>
          <c:idx val="3"/>
          <c:order val="3"/>
          <c:tx>
            <c:strRef>
              <c:f>'Q04'!$G$14</c:f>
              <c:strCache>
                <c:ptCount val="1"/>
                <c:pt idx="0">
                  <c:v>Architectural and engineering services; technical testing and analysis</c:v>
                </c:pt>
              </c:strCache>
            </c:strRef>
          </c:tx>
          <c:spPr>
            <a:ln w="28575" cap="rnd">
              <a:solidFill>
                <a:schemeClr val="accent4"/>
              </a:solidFill>
              <a:round/>
            </a:ln>
            <a:effectLst/>
          </c:spPr>
          <c:marker>
            <c:symbol val="none"/>
          </c:marker>
          <c:val>
            <c:numRef>
              <c:f>'Q04'!$H$54:$H$58</c:f>
              <c:numCache>
                <c:formatCode>0.00</c:formatCode>
                <c:ptCount val="5"/>
                <c:pt idx="0">
                  <c:v>4.8</c:v>
                </c:pt>
                <c:pt idx="1">
                  <c:v>5.85</c:v>
                </c:pt>
                <c:pt idx="2">
                  <c:v>4.5250000000000004</c:v>
                </c:pt>
                <c:pt idx="3">
                  <c:v>4.2631578947368425</c:v>
                </c:pt>
                <c:pt idx="4">
                  <c:v>4.3421052631578947</c:v>
                </c:pt>
              </c:numCache>
            </c:numRef>
          </c:val>
          <c:smooth val="0"/>
          <c:extLst>
            <c:ext xmlns:c16="http://schemas.microsoft.com/office/drawing/2014/chart" uri="{C3380CC4-5D6E-409C-BE32-E72D297353CC}">
              <c16:uniqueId val="{00000003-6660-4C9E-91D3-8AE7AEDCE144}"/>
            </c:ext>
          </c:extLst>
        </c:ser>
        <c:dLbls>
          <c:showLegendKey val="0"/>
          <c:showVal val="0"/>
          <c:showCatName val="0"/>
          <c:showSerName val="0"/>
          <c:showPercent val="0"/>
          <c:showBubbleSize val="0"/>
        </c:dLbls>
        <c:smooth val="0"/>
        <c:axId val="17293471"/>
        <c:axId val="17294303"/>
      </c:lineChart>
      <c:catAx>
        <c:axId val="17293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v-LV"/>
          </a:p>
        </c:txPr>
        <c:crossAx val="17294303"/>
        <c:crosses val="autoZero"/>
        <c:auto val="1"/>
        <c:lblAlgn val="ctr"/>
        <c:lblOffset val="100"/>
        <c:noMultiLvlLbl val="0"/>
      </c:catAx>
      <c:valAx>
        <c:axId val="172943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v-LV"/>
          </a:p>
        </c:txPr>
        <c:crossAx val="1729347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Changes in construction material costs</c:v>
          </c:tx>
          <c:spPr>
            <a:ln w="19050" cap="rnd">
              <a:solidFill>
                <a:schemeClr val="bg1">
                  <a:lumMod val="50000"/>
                </a:schemeClr>
              </a:solidFill>
              <a:prstDash val="sysDash"/>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Q03_APAK!$B$55:$B$69</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'Q04'!$C$61:$C$70</c:f>
              <c:numCache>
                <c:formatCode>0.00</c:formatCode>
                <c:ptCount val="10"/>
                <c:pt idx="0">
                  <c:v>-0.29999999999999716</c:v>
                </c:pt>
                <c:pt idx="1">
                  <c:v>0.70000000000000284</c:v>
                </c:pt>
                <c:pt idx="2">
                  <c:v>1</c:v>
                </c:pt>
                <c:pt idx="3">
                  <c:v>-0.40000000000000568</c:v>
                </c:pt>
                <c:pt idx="4">
                  <c:v>-1.7999999999999972</c:v>
                </c:pt>
                <c:pt idx="5">
                  <c:v>-3.2000000000000028</c:v>
                </c:pt>
                <c:pt idx="6">
                  <c:v>1.4000000000000057</c:v>
                </c:pt>
                <c:pt idx="7">
                  <c:v>3.7000000000000028</c:v>
                </c:pt>
                <c:pt idx="8">
                  <c:v>3.4000000000000057</c:v>
                </c:pt>
                <c:pt idx="9">
                  <c:v>-0.70000000000000284</c:v>
                </c:pt>
              </c:numCache>
            </c:numRef>
          </c:val>
          <c:smooth val="0"/>
          <c:extLst>
            <c:ext xmlns:c16="http://schemas.microsoft.com/office/drawing/2014/chart" uri="{C3380CC4-5D6E-409C-BE32-E72D297353CC}">
              <c16:uniqueId val="{00000000-EC1F-4BF0-A307-109FCB52F625}"/>
            </c:ext>
          </c:extLst>
        </c:ser>
        <c:ser>
          <c:idx val="1"/>
          <c:order val="1"/>
          <c:tx>
            <c:v>Statistical forecast</c:v>
          </c:tx>
          <c:spPr>
            <a:ln w="19050" cap="rnd">
              <a:solidFill>
                <a:srgbClr val="00B0F0"/>
              </a:solidFill>
              <a:prstDash val="sysDash"/>
              <a:round/>
            </a:ln>
            <a:effectLst/>
          </c:spPr>
          <c:marker>
            <c:symbol val="none"/>
          </c:marker>
          <c:cat>
            <c:strRef>
              <c:f>Q03_APAK!$B$55:$B$69</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'Q04'!$D$61:$D$75</c:f>
              <c:numCache>
                <c:formatCode>General</c:formatCode>
                <c:ptCount val="15"/>
                <c:pt idx="10" formatCode="0.00">
                  <c:v>1.4733333333331302</c:v>
                </c:pt>
                <c:pt idx="11" formatCode="0.00">
                  <c:v>1.6721212121209845</c:v>
                </c:pt>
                <c:pt idx="12" formatCode="0.00">
                  <c:v>1.8709090909088246</c:v>
                </c:pt>
                <c:pt idx="13" formatCode="0.00">
                  <c:v>2.0696969696966647</c:v>
                </c:pt>
                <c:pt idx="14" formatCode="0.00">
                  <c:v>2.268484848484519</c:v>
                </c:pt>
              </c:numCache>
            </c:numRef>
          </c:val>
          <c:smooth val="0"/>
          <c:extLst>
            <c:ext xmlns:c16="http://schemas.microsoft.com/office/drawing/2014/chart" uri="{C3380CC4-5D6E-409C-BE32-E72D297353CC}">
              <c16:uniqueId val="{00000001-EC1F-4BF0-A307-109FCB52F625}"/>
            </c:ext>
          </c:extLst>
        </c:ser>
        <c:ser>
          <c:idx val="2"/>
          <c:order val="2"/>
          <c:tx>
            <c:v>Expert Forecast</c:v>
          </c:tx>
          <c:spPr>
            <a:ln w="19050" cap="rnd">
              <a:solidFill>
                <a:srgbClr val="FFC000"/>
              </a:solidFill>
              <a:prstDash val="sysDash"/>
              <a:round/>
            </a:ln>
            <a:effectLst/>
          </c:spPr>
          <c:marker>
            <c:symbol val="none"/>
          </c:marker>
          <c:cat>
            <c:strRef>
              <c:f>Q03_APAK!$B$55:$B$69</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'Q04'!$F$61:$F$75</c:f>
              <c:numCache>
                <c:formatCode>General</c:formatCode>
                <c:ptCount val="15"/>
                <c:pt idx="10" formatCode="0.00">
                  <c:v>12.619047619047619</c:v>
                </c:pt>
                <c:pt idx="11" formatCode="0.00">
                  <c:v>7.3095238095238093</c:v>
                </c:pt>
                <c:pt idx="12" formatCode="0.00">
                  <c:v>5.4047619047619051</c:v>
                </c:pt>
                <c:pt idx="13" formatCode="0.00">
                  <c:v>3.6749999999999998</c:v>
                </c:pt>
                <c:pt idx="14" formatCode="0.00">
                  <c:v>3.0750000000000002</c:v>
                </c:pt>
              </c:numCache>
            </c:numRef>
          </c:val>
          <c:smooth val="0"/>
          <c:extLst>
            <c:ext xmlns:c16="http://schemas.microsoft.com/office/drawing/2014/chart" uri="{C3380CC4-5D6E-409C-BE32-E72D297353CC}">
              <c16:uniqueId val="{00000002-EC1F-4BF0-A307-109FCB52F625}"/>
            </c:ext>
          </c:extLst>
        </c:ser>
        <c:ser>
          <c:idx val="3"/>
          <c:order val="3"/>
          <c:tx>
            <c:v>Combined forecast</c:v>
          </c:tx>
          <c:spPr>
            <a:ln w="28575" cap="rnd">
              <a:solidFill>
                <a:schemeClr val="tx1"/>
              </a:solidFill>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Q03_APAK!$B$55:$B$69</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'Q04'!$E$61:$E$75</c:f>
              <c:numCache>
                <c:formatCode>General</c:formatCode>
                <c:ptCount val="15"/>
                <c:pt idx="10" formatCode="0.00">
                  <c:v>7.0461904761903753</c:v>
                </c:pt>
                <c:pt idx="11" formatCode="0.00">
                  <c:v>4.4908225108223974</c:v>
                </c:pt>
                <c:pt idx="12" formatCode="0.00">
                  <c:v>3.6378354978353684</c:v>
                </c:pt>
                <c:pt idx="13" formatCode="0.00">
                  <c:v>2.8723484848483309</c:v>
                </c:pt>
                <c:pt idx="14" formatCode="0.00">
                  <c:v>2.671742424242268</c:v>
                </c:pt>
              </c:numCache>
            </c:numRef>
          </c:val>
          <c:smooth val="0"/>
          <c:extLst>
            <c:ext xmlns:c16="http://schemas.microsoft.com/office/drawing/2014/chart" uri="{C3380CC4-5D6E-409C-BE32-E72D297353CC}">
              <c16:uniqueId val="{00000003-EC1F-4BF0-A307-109FCB52F625}"/>
            </c:ext>
          </c:extLst>
        </c:ser>
        <c:dLbls>
          <c:showLegendKey val="0"/>
          <c:showVal val="0"/>
          <c:showCatName val="0"/>
          <c:showSerName val="0"/>
          <c:showPercent val="0"/>
          <c:showBubbleSize val="0"/>
        </c:dLbls>
        <c:smooth val="0"/>
        <c:axId val="17293471"/>
        <c:axId val="17294303"/>
      </c:lineChart>
      <c:catAx>
        <c:axId val="17293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v-LV"/>
          </a:p>
        </c:txPr>
        <c:crossAx val="17294303"/>
        <c:crosses val="autoZero"/>
        <c:auto val="1"/>
        <c:lblAlgn val="ctr"/>
        <c:lblOffset val="100"/>
        <c:noMultiLvlLbl val="0"/>
      </c:catAx>
      <c:valAx>
        <c:axId val="17294303"/>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v-LV"/>
          </a:p>
        </c:txPr>
        <c:crossAx val="1729347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Changes in workers' wage costs</c:v>
          </c:tx>
          <c:spPr>
            <a:ln w="19050" cap="rnd">
              <a:solidFill>
                <a:schemeClr val="bg1">
                  <a:lumMod val="50000"/>
                </a:schemeClr>
              </a:solidFill>
              <a:prstDash val="sysDash"/>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Q03_APAK!$B$55:$B$69</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'Q04'!$C$78:$C$87</c:f>
              <c:numCache>
                <c:formatCode>0.00</c:formatCode>
                <c:ptCount val="10"/>
                <c:pt idx="0">
                  <c:v>-1</c:v>
                </c:pt>
                <c:pt idx="1">
                  <c:v>15.799999999999997</c:v>
                </c:pt>
                <c:pt idx="2">
                  <c:v>5.7999999999999972</c:v>
                </c:pt>
                <c:pt idx="3">
                  <c:v>3.0999999999999943</c:v>
                </c:pt>
                <c:pt idx="4">
                  <c:v>6.7000000000000028</c:v>
                </c:pt>
                <c:pt idx="5">
                  <c:v>4.7999999999999972</c:v>
                </c:pt>
                <c:pt idx="6">
                  <c:v>4.5</c:v>
                </c:pt>
                <c:pt idx="7">
                  <c:v>8.2999999999999972</c:v>
                </c:pt>
                <c:pt idx="8">
                  <c:v>7.5999999999999943</c:v>
                </c:pt>
                <c:pt idx="9">
                  <c:v>7</c:v>
                </c:pt>
              </c:numCache>
            </c:numRef>
          </c:val>
          <c:smooth val="0"/>
          <c:extLst>
            <c:ext xmlns:c16="http://schemas.microsoft.com/office/drawing/2014/chart" uri="{C3380CC4-5D6E-409C-BE32-E72D297353CC}">
              <c16:uniqueId val="{00000000-C968-4710-9A27-50A3840B5ED1}"/>
            </c:ext>
          </c:extLst>
        </c:ser>
        <c:ser>
          <c:idx val="1"/>
          <c:order val="1"/>
          <c:tx>
            <c:v>Statistical forecast</c:v>
          </c:tx>
          <c:spPr>
            <a:ln w="19050" cap="rnd">
              <a:solidFill>
                <a:srgbClr val="00B0F0"/>
              </a:solidFill>
              <a:prstDash val="sysDash"/>
              <a:round/>
            </a:ln>
            <a:effectLst/>
          </c:spPr>
          <c:marker>
            <c:symbol val="none"/>
          </c:marker>
          <c:cat>
            <c:strRef>
              <c:f>Q03_APAK!$B$55:$B$69</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'Q04'!$D$78:$D$92</c:f>
              <c:numCache>
                <c:formatCode>General</c:formatCode>
                <c:ptCount val="15"/>
                <c:pt idx="10" formatCode="0.00">
                  <c:v>7.0854246426745959</c:v>
                </c:pt>
                <c:pt idx="11" formatCode="0.00">
                  <c:v>7.1832740639937498</c:v>
                </c:pt>
                <c:pt idx="12" formatCode="0.00">
                  <c:v>7.27329553160736</c:v>
                </c:pt>
                <c:pt idx="13" formatCode="0.00">
                  <c:v>7.3563922709430045</c:v>
                </c:pt>
                <c:pt idx="14" formatCode="0.00">
                  <c:v>7.433333696253797</c:v>
                </c:pt>
              </c:numCache>
            </c:numRef>
          </c:val>
          <c:smooth val="0"/>
          <c:extLst>
            <c:ext xmlns:c16="http://schemas.microsoft.com/office/drawing/2014/chart" uri="{C3380CC4-5D6E-409C-BE32-E72D297353CC}">
              <c16:uniqueId val="{00000001-C968-4710-9A27-50A3840B5ED1}"/>
            </c:ext>
          </c:extLst>
        </c:ser>
        <c:ser>
          <c:idx val="2"/>
          <c:order val="2"/>
          <c:tx>
            <c:v>Ekspertu prognoze</c:v>
          </c:tx>
          <c:spPr>
            <a:ln w="19050" cap="rnd">
              <a:solidFill>
                <a:srgbClr val="FFC000"/>
              </a:solidFill>
              <a:prstDash val="sysDash"/>
              <a:round/>
            </a:ln>
            <a:effectLst/>
          </c:spPr>
          <c:marker>
            <c:symbol val="none"/>
          </c:marker>
          <c:cat>
            <c:strRef>
              <c:f>Q03_APAK!$B$55:$B$69</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'Q04'!$F$78:$F$92</c:f>
              <c:numCache>
                <c:formatCode>General</c:formatCode>
                <c:ptCount val="15"/>
                <c:pt idx="10" formatCode="0.00">
                  <c:v>7.1190476190476186</c:v>
                </c:pt>
                <c:pt idx="11" formatCode="0.00">
                  <c:v>7.666666666666667</c:v>
                </c:pt>
                <c:pt idx="12" formatCode="0.00">
                  <c:v>6.5476190476190474</c:v>
                </c:pt>
                <c:pt idx="13" formatCode="0.00">
                  <c:v>5.5</c:v>
                </c:pt>
                <c:pt idx="14" formatCode="0.00">
                  <c:v>5.05</c:v>
                </c:pt>
              </c:numCache>
            </c:numRef>
          </c:val>
          <c:smooth val="0"/>
          <c:extLst>
            <c:ext xmlns:c16="http://schemas.microsoft.com/office/drawing/2014/chart" uri="{C3380CC4-5D6E-409C-BE32-E72D297353CC}">
              <c16:uniqueId val="{00000002-C968-4710-9A27-50A3840B5ED1}"/>
            </c:ext>
          </c:extLst>
        </c:ser>
        <c:ser>
          <c:idx val="3"/>
          <c:order val="3"/>
          <c:tx>
            <c:v>Combined forecast</c:v>
          </c:tx>
          <c:spPr>
            <a:ln w="19050" cap="rnd">
              <a:solidFill>
                <a:schemeClr val="tx1"/>
              </a:solidFill>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Q03_APAK!$B$55:$B$69</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'Q04'!$E$78:$E$92</c:f>
              <c:numCache>
                <c:formatCode>General</c:formatCode>
                <c:ptCount val="15"/>
                <c:pt idx="10" formatCode="0.00">
                  <c:v>7.1022361308611153</c:v>
                </c:pt>
                <c:pt idx="11" formatCode="0.00">
                  <c:v>7.4249703653302106</c:v>
                </c:pt>
                <c:pt idx="12" formatCode="0.00">
                  <c:v>6.9104572896132055</c:v>
                </c:pt>
                <c:pt idx="13" formatCode="0.00">
                  <c:v>6.4281961354714952</c:v>
                </c:pt>
                <c:pt idx="14" formatCode="0.00">
                  <c:v>6.2416668481268971</c:v>
                </c:pt>
              </c:numCache>
            </c:numRef>
          </c:val>
          <c:smooth val="0"/>
          <c:extLst>
            <c:ext xmlns:c16="http://schemas.microsoft.com/office/drawing/2014/chart" uri="{C3380CC4-5D6E-409C-BE32-E72D297353CC}">
              <c16:uniqueId val="{00000003-C968-4710-9A27-50A3840B5ED1}"/>
            </c:ext>
          </c:extLst>
        </c:ser>
        <c:dLbls>
          <c:showLegendKey val="0"/>
          <c:showVal val="0"/>
          <c:showCatName val="0"/>
          <c:showSerName val="0"/>
          <c:showPercent val="0"/>
          <c:showBubbleSize val="0"/>
        </c:dLbls>
        <c:smooth val="0"/>
        <c:axId val="17293471"/>
        <c:axId val="17294303"/>
      </c:lineChart>
      <c:catAx>
        <c:axId val="17293471"/>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v-LV"/>
          </a:p>
        </c:txPr>
        <c:crossAx val="17294303"/>
        <c:crosses val="autoZero"/>
        <c:auto val="1"/>
        <c:lblAlgn val="ctr"/>
        <c:lblOffset val="100"/>
        <c:noMultiLvlLbl val="0"/>
      </c:catAx>
      <c:valAx>
        <c:axId val="17294303"/>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v-LV"/>
          </a:p>
        </c:txPr>
        <c:crossAx val="1729347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Dokumentā aprakstīti vispārīgās ekspertu aptaujas rezultāti. Tiek aplūkoti būvniecības nozares darbaspēka un būvmateriālu ietekmējošie faktori, to ietekmes pakāpe, sniegtas būvniecības nozares produkcijas izmaiņas un izmaksu izmaiņu prognozes novērtēta ēnu ekonomikas apkarošanas pasākumu ietekme uz būvniecības nozares izmaksām.</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AA6D04-EF54-417C-9E47-D199F131C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82764</Words>
  <Characters>47177</Characters>
  <Application>Microsoft Office Word</Application>
  <DocSecurity>0</DocSecurity>
  <Lines>393</Lines>
  <Paragraphs>259</Paragraphs>
  <ScaleCrop>false</ScaleCrop>
  <HeadingPairs>
    <vt:vector size="2" baseType="variant">
      <vt:variant>
        <vt:lpstr>Title</vt:lpstr>
      </vt:variant>
      <vt:variant>
        <vt:i4>1</vt:i4>
      </vt:variant>
    </vt:vector>
  </HeadingPairs>
  <TitlesOfParts>
    <vt:vector size="1" baseType="lpstr">
      <vt:lpstr>Pētījuma par prognozētām izmaiņām darbaspēka un būvmateriālu izmaksām būvniecības nozarē Latvijā 2021 [ID Nr. EM 2021/15] ZIŅOJUMS</vt:lpstr>
    </vt:vector>
  </TitlesOfParts>
  <Company/>
  <LinksUpToDate>false</LinksUpToDate>
  <CharactersWithSpaces>129682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Pētījuma par prognozētām izmaiņām darbaspēka un būvmateriālu izmaksām būvniecības nozarē Latvijā 2021 [ID Nr. EM 2021/15] ZIŅOJUMS</dc:title>
  <dc:subject>Dokuments izstrādāts pēc Latvijas Republikas Ekonomikas Minsitrijas pasūtījuma EM 2018/33 un tā pieejamību reglamentē Pasūtītāja noteikti ierobežojumi</dc:subject>
  <dc:creator>2018/Rīga</dc:creator>
  <cp:keywords/>
  <dc:description/>
  <cp:lastModifiedBy>User</cp:lastModifiedBy>
  <cp:revision>2</cp:revision>
  <cp:lastPrinted>2021-09-14T13:56:00Z</cp:lastPrinted>
  <dcterms:created xsi:type="dcterms:W3CDTF">2021-09-14T19:41:00Z</dcterms:created>
  <dcterms:modified xsi:type="dcterms:W3CDTF">2021-09-14T19:41:00Z</dcterms:modified>
</cp:coreProperties>
</file>