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9"/>
        <w:gridCol w:w="5229"/>
      </w:tblGrid>
      <w:tr w:rsidR="00FC4D90" w:rsidRPr="00034454" w14:paraId="582A63B5" w14:textId="77777777" w:rsidTr="00034454">
        <w:trPr>
          <w:jc w:val="center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23F21E" w14:textId="77777777" w:rsidR="00034454" w:rsidRPr="00034454" w:rsidRDefault="00034454" w:rsidP="00034454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Anotācija pētījumam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20C2D15" w14:textId="718E9142" w:rsidR="00034454" w:rsidRPr="00034454" w:rsidRDefault="00CB6472" w:rsidP="005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647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</w:t>
            </w:r>
            <w:r w:rsidR="007E12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ēlētāju attieksmju pētījums 202</w:t>
            </w:r>
            <w:r w:rsidR="00515E1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  <w:r w:rsidR="005111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 Pēcvēlēšanu aptauja</w:t>
            </w:r>
          </w:p>
        </w:tc>
      </w:tr>
      <w:tr w:rsidR="00FC4D90" w:rsidRPr="00034454" w14:paraId="0C041E41" w14:textId="77777777" w:rsidTr="00034454">
        <w:trPr>
          <w:jc w:val="center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3FF1F0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1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9318690" w14:textId="77777777" w:rsidR="00034454" w:rsidRPr="00034454" w:rsidRDefault="00034454" w:rsidP="0003445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(pētījuma nosaukums)</w:t>
            </w:r>
          </w:p>
        </w:tc>
      </w:tr>
    </w:tbl>
    <w:tbl>
      <w:tblPr>
        <w:tblpPr w:leftFromText="180" w:rightFromText="180" w:vertAnchor="text" w:horzAnchor="margin" w:tblpY="164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4598"/>
        <w:gridCol w:w="5225"/>
      </w:tblGrid>
      <w:tr w:rsidR="00FC4D90" w:rsidRPr="00034454" w14:paraId="7687FA7D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95239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Pētījuma mērķis, uzdevumi un galvenie rezultāti latviešu valodā</w:t>
            </w: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(brīvā tekstā, aptuveni 150 vārdu)</w:t>
            </w:r>
          </w:p>
          <w:p w14:paraId="2CBE060A" w14:textId="77777777" w:rsidR="00034454" w:rsidRPr="00034454" w:rsidRDefault="00034454" w:rsidP="008173F8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FA89DF" w14:textId="2E6C1211" w:rsidR="00034454" w:rsidRPr="004951C4" w:rsidRDefault="002F4DE9" w:rsidP="00BE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Pētījuma mērķis ir noskaidrot vēlētāju viedokli par dalību 2022. gada 1. oktobra 14. Saeimas vēlēšanās </w:t>
            </w:r>
            <w:r w:rsidR="00BE5E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un </w:t>
            </w:r>
            <w:bookmarkStart w:id="0" w:name="_GoBack"/>
            <w:bookmarkEnd w:id="0"/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 vēlēšanu norisi saistītiem aspektiem.</w:t>
            </w:r>
            <w:bookmarkStart w:id="1" w:name="_Hlk7915242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0B24F8" w:rsidRPr="004951C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Pētījums sniedz informāciju arī par </w:t>
            </w:r>
            <w:r w:rsidR="00DA2A48" w:rsidRPr="004951C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vēlētāju </w:t>
            </w:r>
            <w:r w:rsidR="000B24F8" w:rsidRPr="004951C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sociāldemogrāfisko raksturojumu</w:t>
            </w:r>
            <w:bookmarkEnd w:id="1"/>
            <w:r w:rsidR="00515E10" w:rsidRPr="004951C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FC4D90" w:rsidRPr="00034454" w14:paraId="0D63A221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A17C61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Galvenās pētījumā aplūkotās tēmas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8360E7" w14:textId="108A1469" w:rsidR="00A23186" w:rsidRDefault="00515E10" w:rsidP="00462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Pētījumā tiek apskatīta m</w:t>
            </w:r>
            <w:r w:rsidR="002B5C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otivācija, kāpēc vēlētāji piedalījās vai nepiedalījās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14. Saeimas vēlēšanās,</w:t>
            </w:r>
            <w:r w:rsidR="002B5C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viedoklis par uzticību balsu skaitīšanas godīgumam. Tāpat pieejams vēlētāju viedoklis par vēlēšanu norisi vēlēšanu iecirkņos – saskarsmi ar kādām problēmsituācijām, gaidīšanu rindā, vēlēšanu iecirkņa izvēli, kā arī par balss nodošanas gl</w:t>
            </w:r>
            <w:r w:rsidR="00BA2F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abāšanā iespējas nodrošināšanu.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Pētījumā </w:t>
            </w:r>
            <w:r w:rsidR="00462D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gūta arī informācija par to, </w:t>
            </w:r>
            <w:r w:rsidR="00A231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vai vēlētāji bija pamanījuši Centrālās vēlēšanu komisijas sagatavoto informāciju par </w:t>
            </w:r>
            <w:r w:rsidR="00A231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balsošanas kārtību.</w:t>
            </w:r>
          </w:p>
          <w:p w14:paraId="11FC0BF6" w14:textId="1F96A1E9" w:rsidR="00462D9A" w:rsidRPr="003609F1" w:rsidRDefault="00462D9A" w:rsidP="00462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</w:tr>
      <w:tr w:rsidR="00FC4D90" w:rsidRPr="00034454" w14:paraId="35443C4B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4F8396" w14:textId="4D95D138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pasūtītājs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77E2C9" w14:textId="77777777" w:rsidR="00034454" w:rsidRPr="00034454" w:rsidRDefault="008173F8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C4D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Centrālā vēlēšanu komisija</w:t>
            </w:r>
          </w:p>
        </w:tc>
      </w:tr>
      <w:tr w:rsidR="00FC4D90" w:rsidRPr="00034454" w14:paraId="0A6ABA08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C9EC14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īstenotājs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728524" w14:textId="77777777" w:rsidR="00034454" w:rsidRPr="00034454" w:rsidRDefault="00D020A6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C4D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Pētījumu centrs SKDS</w:t>
            </w:r>
          </w:p>
        </w:tc>
      </w:tr>
      <w:tr w:rsidR="00FC4D90" w:rsidRPr="00034454" w14:paraId="19311F0A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6F7370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īstenošanas gads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AC61CF" w14:textId="64E5DB0B" w:rsidR="00034454" w:rsidRPr="00034454" w:rsidRDefault="00515E10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2022</w:t>
            </w:r>
          </w:p>
        </w:tc>
      </w:tr>
      <w:tr w:rsidR="00FC4D90" w:rsidRPr="00034454" w14:paraId="4A351FE8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807823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finansēšanas summa un finansēšanas avots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3986FB" w14:textId="3ED997B1" w:rsidR="00034454" w:rsidRPr="00096216" w:rsidRDefault="00511104" w:rsidP="005C15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104">
              <w:rPr>
                <w:rFonts w:ascii="Times New Roman" w:hAnsi="Times New Roman" w:cs="Times New Roman"/>
                <w:bCs/>
                <w:sz w:val="20"/>
                <w:szCs w:val="20"/>
              </w:rPr>
              <w:t>4258.90</w:t>
            </w:r>
            <w:r w:rsidRPr="005111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1104">
              <w:rPr>
                <w:rFonts w:ascii="Times New Roman" w:hAnsi="Times New Roman" w:cs="Times New Roman"/>
                <w:bCs/>
                <w:sz w:val="20"/>
                <w:szCs w:val="20"/>
              </w:rPr>
              <w:t>eiro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51C4" w:rsidRPr="00096216">
              <w:rPr>
                <w:rFonts w:ascii="Times New Roman" w:hAnsi="Times New Roman" w:cs="Times New Roman"/>
                <w:sz w:val="20"/>
                <w:szCs w:val="20"/>
              </w:rPr>
              <w:t>(ieskaitot 21% pievienotās vērtības nodokli).</w:t>
            </w:r>
          </w:p>
          <w:p w14:paraId="378D7E5A" w14:textId="6D0B2A6A" w:rsidR="00B855DD" w:rsidRPr="00096216" w:rsidRDefault="00B855DD" w:rsidP="005C150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216">
              <w:rPr>
                <w:rFonts w:ascii="Times New Roman" w:hAnsi="Times New Roman" w:cs="Times New Roman"/>
                <w:sz w:val="20"/>
                <w:szCs w:val="20"/>
              </w:rPr>
              <w:t>Valsts budžeta programma 02.00.00 “Saeimas vēlēšanas”.</w:t>
            </w:r>
          </w:p>
        </w:tc>
      </w:tr>
      <w:tr w:rsidR="00FC4D90" w:rsidRPr="00034454" w14:paraId="4CD6EB8D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15DF9E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30B686" w14:textId="49B27422" w:rsidR="00034454" w:rsidRPr="00096216" w:rsidRDefault="00DA2A48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96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</w:t>
            </w:r>
            <w:r w:rsidR="00FC4D90" w:rsidRPr="000962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abiedriskās domas pētījumi</w:t>
            </w:r>
          </w:p>
        </w:tc>
      </w:tr>
      <w:tr w:rsidR="00FC4D90" w:rsidRPr="00034454" w14:paraId="3A9D890E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1754E4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Politikas joma, nozare**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209268" w14:textId="62386817" w:rsidR="00034454" w:rsidRPr="00096216" w:rsidRDefault="005C1504" w:rsidP="005C1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9621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Pilsoniskās sabiedrības un demokrātijas politika, v</w:t>
            </w:r>
            <w:r w:rsidRPr="000962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ēlēšanu sistēmas attīstība</w:t>
            </w:r>
          </w:p>
        </w:tc>
      </w:tr>
      <w:tr w:rsidR="00FC4D90" w:rsidRPr="00034454" w14:paraId="5BBA5D79" w14:textId="77777777" w:rsidTr="00FC4D90">
        <w:trPr>
          <w:trHeight w:val="25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9FBFCB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Pētījuma ģeogrāfiskais aptvērums</w:t>
            </w: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(visa Latvija vai noteikts reģions/novads)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8DA331" w14:textId="1C16E0A0" w:rsidR="00034454" w:rsidRPr="00034454" w:rsidRDefault="00AE1026" w:rsidP="00AE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Visi Latvijas reģioni</w:t>
            </w:r>
          </w:p>
        </w:tc>
      </w:tr>
      <w:tr w:rsidR="00FC4D90" w:rsidRPr="00034454" w14:paraId="4652B897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A0E086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Pētījuma mērķa grupa/-as</w:t>
            </w: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(piemēram, Latvijas iedzīvotāji darbspējas vecumā)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D227EF" w14:textId="42532598" w:rsidR="00034454" w:rsidRPr="00034454" w:rsidRDefault="00B21341" w:rsidP="00B2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213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Latvijas </w:t>
            </w:r>
            <w:r w:rsidR="00096216" w:rsidRPr="00096216">
              <w:rPr>
                <w:rFonts w:ascii="Times New Roman" w:hAnsi="Times New Roman" w:cs="Times New Roman"/>
                <w:sz w:val="20"/>
                <w:szCs w:val="20"/>
              </w:rPr>
              <w:t>pastāvīgie iedzīvotāji</w:t>
            </w:r>
            <w:r w:rsidR="00096216">
              <w:t xml:space="preserve"> </w:t>
            </w:r>
            <w:r w:rsidR="005228F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 18 līdz 75</w:t>
            </w:r>
            <w:r w:rsidRPr="00B213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gadiem</w:t>
            </w:r>
          </w:p>
        </w:tc>
      </w:tr>
      <w:tr w:rsidR="00FC4D90" w:rsidRPr="00034454" w14:paraId="002CA954" w14:textId="77777777" w:rsidTr="00B21341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805E9B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BA53C6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</w:tr>
      <w:tr w:rsidR="00FC4D90" w:rsidRPr="00034454" w14:paraId="02B1D2BB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C689930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3C99D94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AF2882" w14:textId="77777777" w:rsidR="00034454" w:rsidRPr="00034454" w:rsidRDefault="000567AB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FC4D90" w:rsidRPr="00034454" w14:paraId="16D9FFF5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AEDF8B1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66A9751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3BAFF5" w14:textId="77777777" w:rsidR="00034454" w:rsidRPr="00034454" w:rsidRDefault="000567AB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FC4D90" w:rsidRPr="00034454" w14:paraId="4CE4805E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43D0516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73F907D6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AE9DB2" w14:textId="77777777" w:rsidR="00034454" w:rsidRPr="00034454" w:rsidRDefault="000567AB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FC4D90" w:rsidRPr="00034454" w14:paraId="6A634D58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51D73A8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5EAE840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DC883D" w14:textId="77777777" w:rsidR="00034454" w:rsidRPr="00034454" w:rsidRDefault="000567AB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FC4D90" w:rsidRPr="00034454" w14:paraId="34CFCC4D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E9B2A37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1AF8CD9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BB26E3" w14:textId="77777777" w:rsidR="00034454" w:rsidRPr="00034454" w:rsidRDefault="000567AB" w:rsidP="00B2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FC4D90" w:rsidRPr="00034454" w14:paraId="5B3A96F0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2DD66CA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22BD0B6E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6C4FB4" w14:textId="77777777" w:rsidR="00034454" w:rsidRPr="00034454" w:rsidRDefault="000567AB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FC4D90" w:rsidRPr="00034454" w14:paraId="5A193D27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71BD5A43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83CBDD2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7) kvantitatīvās aptaujas veikšana un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4ACFF9" w14:textId="77777777" w:rsidR="00034454" w:rsidRPr="00034454" w:rsidRDefault="00B21341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213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Tiešās intervijas respondentu dzīves vietās</w:t>
            </w:r>
          </w:p>
        </w:tc>
      </w:tr>
      <w:tr w:rsidR="00FC4D90" w:rsidRPr="00034454" w14:paraId="378A2472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54BD5C4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9547674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510719" w14:textId="77777777" w:rsidR="00034454" w:rsidRPr="00034454" w:rsidRDefault="000567AB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FC4D90" w:rsidRPr="00034454" w14:paraId="1A8A80A2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50580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Kvantitatīvās pētījuma metodes</w:t>
            </w: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D0E267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C4D90" w:rsidRPr="00034454" w14:paraId="58C8AE3A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E7579F4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BD45AD6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1) aptaujas izlases metode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AD8B5F" w14:textId="77777777" w:rsidR="00034454" w:rsidRPr="00034454" w:rsidRDefault="000567AB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</w:t>
            </w:r>
            <w:r w:rsidRPr="00B213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tratificētā nejaušā izlase</w:t>
            </w:r>
          </w:p>
        </w:tc>
      </w:tr>
      <w:tr w:rsidR="00FC4D90" w:rsidRPr="00034454" w14:paraId="345111E2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5D0C482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550F761C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aptaujāto/anketēto respondentu/vienību skaits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32E391" w14:textId="69AEFCED" w:rsidR="00034454" w:rsidRPr="00034454" w:rsidRDefault="00511104" w:rsidP="0009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1000</w:t>
            </w:r>
            <w:r w:rsidR="00023FF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respondenti</w:t>
            </w:r>
            <w:r w:rsidR="00B21341" w:rsidRPr="00B213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(t.sk.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87</w:t>
            </w:r>
            <w:r w:rsidR="0009621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="00B21341" w:rsidRPr="00B213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="00F96B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</w:t>
            </w:r>
            <w:r w:rsidR="00B21341" w:rsidRPr="00B213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pilso</w:t>
            </w:r>
            <w:r w:rsidR="00F96B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ņi</w:t>
            </w:r>
            <w:r w:rsidR="00B21341" w:rsidRPr="00B2134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FC4D90" w:rsidRPr="00034454" w14:paraId="72E43669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27EDA2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Kvalitatīvās pētījuma metodes</w:t>
            </w: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D43439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C4D90" w:rsidRPr="00034454" w14:paraId="795845B2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80853D4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284C542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903544" w14:textId="77777777" w:rsidR="00034454" w:rsidRPr="00034454" w:rsidRDefault="000567AB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FC4D90" w:rsidRPr="00034454" w14:paraId="71AD4965" w14:textId="77777777" w:rsidTr="0003445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A76AF41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462E388A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3BDD7F" w14:textId="77777777" w:rsidR="00034454" w:rsidRPr="00034454" w:rsidRDefault="000567AB" w:rsidP="00B2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</w:p>
        </w:tc>
      </w:tr>
      <w:tr w:rsidR="00FC4D90" w:rsidRPr="00034454" w14:paraId="2580DE92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E59610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BAACB8" w14:textId="598A1C8A" w:rsidR="00034454" w:rsidRPr="00034454" w:rsidRDefault="00096216" w:rsidP="00522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Reģions, dzimums, tautība, sarunvaloda ģimenē, vecums, nodarbinātības statuss, nodarbinātības sektors, ienākumi, izglītība, pilsonība</w:t>
            </w:r>
          </w:p>
        </w:tc>
      </w:tr>
      <w:tr w:rsidR="00FC4D90" w:rsidRPr="00034454" w14:paraId="067933A6" w14:textId="77777777" w:rsidTr="00034454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E744B4" w14:textId="77777777" w:rsidR="00034454" w:rsidRPr="00034454" w:rsidRDefault="00034454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pasūtītāja kontaktinformācija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439A09" w14:textId="77777777" w:rsidR="00034454" w:rsidRPr="00034454" w:rsidRDefault="00040659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40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Smilšu iela 4, Rīga, LV-1050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, tel. </w:t>
            </w:r>
            <w:r>
              <w:t xml:space="preserve"> </w:t>
            </w:r>
            <w:r w:rsidRPr="000406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67322688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, e-pasts: </w:t>
            </w:r>
            <w:r>
              <w:t xml:space="preserve"> </w:t>
            </w:r>
            <w:hyperlink r:id="rId5" w:history="1">
              <w:r w:rsidR="00222FDE" w:rsidRPr="007F574D">
                <w:rPr>
                  <w:rStyle w:val="Hyperlink"/>
                  <w:rFonts w:ascii="Times New Roman" w:eastAsia="Times New Roman" w:hAnsi="Times New Roman" w:cs="Times New Roman"/>
                  <w:bCs/>
                  <w:sz w:val="20"/>
                  <w:szCs w:val="20"/>
                  <w:lang w:eastAsia="lv-LV"/>
                </w:rPr>
                <w:t>cvk@cvk.lv</w:t>
              </w:r>
            </w:hyperlink>
          </w:p>
        </w:tc>
      </w:tr>
      <w:tr w:rsidR="00FC4D90" w:rsidRPr="00034454" w14:paraId="01719C90" w14:textId="77777777" w:rsidTr="00034454">
        <w:trPr>
          <w:trHeight w:val="390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BF1BC0" w14:textId="77777777" w:rsidR="00034454" w:rsidRPr="00034454" w:rsidRDefault="00034454" w:rsidP="000344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0344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Pētījuma autori*** (autortiesību subjekti)</w:t>
            </w:r>
          </w:p>
        </w:tc>
        <w:tc>
          <w:tcPr>
            <w:tcW w:w="0" w:type="auto"/>
            <w:vAlign w:val="center"/>
            <w:hideMark/>
          </w:tcPr>
          <w:p w14:paraId="28989AA6" w14:textId="77777777" w:rsidR="00034454" w:rsidRPr="00034454" w:rsidRDefault="000567AB" w:rsidP="0003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C4D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Pētījumu centrs SKDS</w:t>
            </w:r>
          </w:p>
        </w:tc>
      </w:tr>
    </w:tbl>
    <w:p w14:paraId="7E8FF402" w14:textId="77777777" w:rsidR="00F312A9" w:rsidRDefault="00F312A9" w:rsidP="00F31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8140E">
        <w:rPr>
          <w:rFonts w:ascii="Times New Roman" w:eastAsia="Times New Roman" w:hAnsi="Times New Roman" w:cs="Times New Roman"/>
          <w:sz w:val="20"/>
          <w:szCs w:val="20"/>
          <w:lang w:eastAsia="lv-LV"/>
        </w:rPr>
        <w:lastRenderedPageBreak/>
        <w:t>* Pētījuma klasifikācijas grupa atbilstoši Ministru kabineta 2013.gada 3.janvāra noteikumu Nr.1 "Kārtība, kādā publiska person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a pasūta pētījumus" II nodaļai.</w:t>
      </w:r>
    </w:p>
    <w:p w14:paraId="7390FDAA" w14:textId="77777777" w:rsidR="00F312A9" w:rsidRPr="0078140E" w:rsidRDefault="00F312A9" w:rsidP="00F31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8140E">
        <w:rPr>
          <w:rFonts w:ascii="Times New Roman" w:eastAsia="Times New Roman" w:hAnsi="Times New Roman" w:cs="Times New Roman"/>
          <w:sz w:val="20"/>
          <w:szCs w:val="20"/>
          <w:lang w:eastAsia="lv-LV"/>
        </w:rPr>
        <w:t>** Politikas joma un nozare atbilstoši Ministru kabineta 2009.gada 7.aprīļa noteikumu Nr.300 "Ministru kabineta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kārtības rullis" 3.pielikumam.</w:t>
      </w:r>
    </w:p>
    <w:p w14:paraId="1C6061C4" w14:textId="77777777" w:rsidR="00F312A9" w:rsidRPr="00034454" w:rsidRDefault="00F312A9" w:rsidP="00F31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8140E">
        <w:rPr>
          <w:rFonts w:ascii="Times New Roman" w:eastAsia="Times New Roman" w:hAnsi="Times New Roman" w:cs="Times New Roman"/>
          <w:sz w:val="20"/>
          <w:szCs w:val="20"/>
          <w:lang w:eastAsia="lv-LV"/>
        </w:rPr>
        <w:t>*** Atbilstoši pētījuma īstenotāja sniegtajai informācijai.</w:t>
      </w:r>
    </w:p>
    <w:p w14:paraId="38934B2F" w14:textId="77777777" w:rsidR="00034454" w:rsidRPr="00034454" w:rsidRDefault="00034454" w:rsidP="00034454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5B81FA5" w14:textId="77777777" w:rsidR="00B17CBE" w:rsidRPr="00FC4D90" w:rsidRDefault="00BE5E45"/>
    <w:sectPr w:rsidR="00B17CBE" w:rsidRPr="00FC4D90" w:rsidSect="00034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172AB"/>
    <w:multiLevelType w:val="hybridMultilevel"/>
    <w:tmpl w:val="1CD4463E"/>
    <w:lvl w:ilvl="0" w:tplc="20BE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BC0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64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6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CF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C8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67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AE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05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50283"/>
    <w:multiLevelType w:val="hybridMultilevel"/>
    <w:tmpl w:val="6266406C"/>
    <w:lvl w:ilvl="0" w:tplc="192C2ED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012D2"/>
    <w:multiLevelType w:val="hybridMultilevel"/>
    <w:tmpl w:val="56043CA4"/>
    <w:lvl w:ilvl="0" w:tplc="DC541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BC03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64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6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CF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C8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67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AE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05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54"/>
    <w:rsid w:val="00023FF7"/>
    <w:rsid w:val="00034454"/>
    <w:rsid w:val="00040659"/>
    <w:rsid w:val="000567AB"/>
    <w:rsid w:val="00096216"/>
    <w:rsid w:val="000B24F8"/>
    <w:rsid w:val="000C3B0F"/>
    <w:rsid w:val="00124C5A"/>
    <w:rsid w:val="001902FD"/>
    <w:rsid w:val="001F247D"/>
    <w:rsid w:val="00222FDE"/>
    <w:rsid w:val="002B5C3A"/>
    <w:rsid w:val="002F4DE9"/>
    <w:rsid w:val="003127CC"/>
    <w:rsid w:val="0035636A"/>
    <w:rsid w:val="003609F1"/>
    <w:rsid w:val="003904FA"/>
    <w:rsid w:val="00397405"/>
    <w:rsid w:val="003C2818"/>
    <w:rsid w:val="00415789"/>
    <w:rsid w:val="00452A68"/>
    <w:rsid w:val="00462D9A"/>
    <w:rsid w:val="00474779"/>
    <w:rsid w:val="00487E85"/>
    <w:rsid w:val="004951C4"/>
    <w:rsid w:val="00511104"/>
    <w:rsid w:val="00515E10"/>
    <w:rsid w:val="005228F4"/>
    <w:rsid w:val="00561AEB"/>
    <w:rsid w:val="00561B70"/>
    <w:rsid w:val="00586AC8"/>
    <w:rsid w:val="005C1504"/>
    <w:rsid w:val="00667DDC"/>
    <w:rsid w:val="00675040"/>
    <w:rsid w:val="006A080F"/>
    <w:rsid w:val="006C6C17"/>
    <w:rsid w:val="006D151A"/>
    <w:rsid w:val="006E2F2C"/>
    <w:rsid w:val="006E6BEB"/>
    <w:rsid w:val="007056BC"/>
    <w:rsid w:val="0072316A"/>
    <w:rsid w:val="007D0066"/>
    <w:rsid w:val="007E12C9"/>
    <w:rsid w:val="008173F8"/>
    <w:rsid w:val="008E71F6"/>
    <w:rsid w:val="009045B2"/>
    <w:rsid w:val="00940CE8"/>
    <w:rsid w:val="00966845"/>
    <w:rsid w:val="00A23186"/>
    <w:rsid w:val="00A279A9"/>
    <w:rsid w:val="00AE1026"/>
    <w:rsid w:val="00AF3F48"/>
    <w:rsid w:val="00B21341"/>
    <w:rsid w:val="00B855DD"/>
    <w:rsid w:val="00BA2FF8"/>
    <w:rsid w:val="00BB17A3"/>
    <w:rsid w:val="00BE0631"/>
    <w:rsid w:val="00BE5E45"/>
    <w:rsid w:val="00C103CF"/>
    <w:rsid w:val="00C32502"/>
    <w:rsid w:val="00C54C58"/>
    <w:rsid w:val="00CB6472"/>
    <w:rsid w:val="00D020A6"/>
    <w:rsid w:val="00D04EA6"/>
    <w:rsid w:val="00D501DA"/>
    <w:rsid w:val="00DA2A48"/>
    <w:rsid w:val="00DB4AC3"/>
    <w:rsid w:val="00E2159F"/>
    <w:rsid w:val="00E40A18"/>
    <w:rsid w:val="00EB7FBF"/>
    <w:rsid w:val="00ED599A"/>
    <w:rsid w:val="00F312A9"/>
    <w:rsid w:val="00F55275"/>
    <w:rsid w:val="00F63659"/>
    <w:rsid w:val="00F836B6"/>
    <w:rsid w:val="00F96B77"/>
    <w:rsid w:val="00FB3E84"/>
    <w:rsid w:val="00F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EDD6"/>
  <w15:chartTrackingRefBased/>
  <w15:docId w15:val="{5E01E221-EF14-4805-835A-F14D0E0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03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C4D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3">
          <w:marLeft w:val="0"/>
          <w:marRight w:val="0"/>
          <w:marTop w:val="0"/>
          <w:marBottom w:val="0"/>
          <w:divBdr>
            <w:top w:val="none" w:sz="0" w:space="0" w:color="414142"/>
            <w:left w:val="none" w:sz="0" w:space="8" w:color="414142"/>
            <w:bottom w:val="none" w:sz="0" w:space="0" w:color="414142"/>
            <w:right w:val="none" w:sz="0" w:space="8" w:color="414142"/>
          </w:divBdr>
        </w:div>
      </w:divsChild>
    </w:div>
    <w:div w:id="190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k@cvk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Zaharova</dc:creator>
  <cp:keywords/>
  <dc:description/>
  <cp:lastModifiedBy>Laura Zaharova</cp:lastModifiedBy>
  <cp:revision>10</cp:revision>
  <dcterms:created xsi:type="dcterms:W3CDTF">2022-12-27T12:30:00Z</dcterms:created>
  <dcterms:modified xsi:type="dcterms:W3CDTF">2022-12-27T19:09:00Z</dcterms:modified>
</cp:coreProperties>
</file>